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z w:val="96"/>
          <w:szCs w:val="96"/>
          <w:highlight w:val="none"/>
        </w:rPr>
      </w:pPr>
      <w:r>
        <w:rPr>
          <w:rFonts w:hint="eastAsia" w:ascii="宋体" w:hAnsi="宋体" w:cs="宋体"/>
          <w:b/>
          <w:color w:val="auto"/>
          <w:sz w:val="96"/>
          <w:szCs w:val="96"/>
          <w:highlight w:val="none"/>
        </w:rPr>
      </w:r>
      <w:r/>
    </w:p>
    <w:p>
      <w:pPr>
        <w:jc w:val="center"/>
        <w:rPr>
          <w:rFonts w:hint="eastAsia" w:ascii="宋体" w:hAnsi="宋体" w:cs="宋体"/>
          <w:b/>
          <w:color w:val="auto"/>
          <w:spacing w:val="40"/>
          <w:sz w:val="72"/>
          <w:szCs w:val="72"/>
          <w:highlight w:val="none"/>
        </w:rPr>
      </w:pPr>
      <w:r/>
      <w:bookmarkStart w:id="0" w:name="_Toc23250"/>
      <w:r>
        <w:rPr>
          <w:rFonts w:hint="eastAsia" w:ascii="宋体" w:hAnsi="宋体" w:cs="宋体"/>
          <w:b/>
          <w:color w:val="auto"/>
          <w:spacing w:val="40"/>
          <w:sz w:val="72"/>
          <w:szCs w:val="72"/>
          <w:highlight w:val="none"/>
        </w:rPr>
        <w:t xml:space="preserve">苏州市吴江区政府采购</w:t>
      </w:r>
      <w:bookmarkEnd w:id="0"/>
      <w:r/>
      <w:r/>
    </w:p>
    <w:p>
      <w:pPr>
        <w:jc w:val="center"/>
        <w:rPr>
          <w:rFonts w:hint="eastAsia" w:ascii="宋体" w:hAnsi="宋体" w:cs="宋体"/>
          <w:b/>
          <w:color w:val="auto"/>
          <w:spacing w:val="20"/>
          <w:sz w:val="72"/>
          <w:szCs w:val="72"/>
          <w:highlight w:val="none"/>
        </w:rPr>
      </w:pPr>
      <w:r/>
      <w:bookmarkStart w:id="1" w:name="_Toc21822"/>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bookmarkEnd w:id="1"/>
      <w:r/>
      <w:r/>
    </w:p>
    <w:p>
      <w:pPr>
        <w:jc w:val="center"/>
        <w:rPr>
          <w:rFonts w:hint="eastAsia" w:ascii="宋体" w:hAnsi="宋体" w:cs="宋体"/>
          <w:color w:val="auto"/>
          <w:highlight w:val="none"/>
        </w:rPr>
      </w:pPr>
      <w:r>
        <w:rPr>
          <w:rFonts w:hint="eastAsia" w:ascii="宋体" w:hAnsi="宋体" w:cs="宋体"/>
          <w:color w:val="auto"/>
          <w:highlight w:val="none"/>
        </w:rPr>
      </w:r>
      <w:r/>
    </w:p>
    <w:p>
      <w:pPr>
        <w:pStyle w:val="1105"/>
        <w:spacing w:before="156" w:after="156"/>
        <w:rPr>
          <w:rFonts w:hint="eastAsia" w:cs="宋体"/>
          <w:color w:val="auto"/>
          <w:highlight w:val="none"/>
        </w:rPr>
      </w:pPr>
      <w:r>
        <w:rPr>
          <w:rFonts w:hint="eastAsia" w:cs="宋体"/>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r>
      <w:r/>
    </w:p>
    <w:p>
      <w:pPr>
        <w:ind w:firstLine="1200"/>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采购编号：</w:t>
      </w:r>
      <w:r>
        <w:rPr>
          <w:rFonts w:hint="eastAsia" w:ascii="宋体" w:hAnsi="宋体" w:cs="宋体"/>
          <w:color w:val="auto"/>
          <w:sz w:val="30"/>
          <w:szCs w:val="30"/>
          <w:highlight w:val="none"/>
          <w:lang w:eastAsia="zh-CN"/>
        </w:rPr>
        <w:t xml:space="preserve">JSZC-320509-SZTY-C2025-0019</w:t>
      </w:r>
      <w:r/>
    </w:p>
    <w:p>
      <w:pPr>
        <w:ind w:firstLine="1200"/>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采购内容：</w:t>
      </w:r>
      <w:r>
        <w:rPr>
          <w:rFonts w:hint="eastAsia" w:ascii="宋体" w:hAnsi="宋体" w:cs="宋体"/>
          <w:color w:val="auto"/>
          <w:sz w:val="32"/>
          <w:szCs w:val="32"/>
          <w:highlight w:val="none"/>
          <w:lang w:eastAsia="zh-CN"/>
        </w:rPr>
        <w:t xml:space="preserve">汾湖高新区2026年两河两湖水面长效管护项目</w:t>
      </w:r>
      <w:r/>
    </w:p>
    <w:p>
      <w:pPr>
        <w:ind w:firstLine="1200"/>
        <w:tabs>
          <w:tab w:val="left" w:pos="709" w:leader="none"/>
        </w:tabs>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采购类别：服务类</w:t>
      </w:r>
      <w:r/>
    </w:p>
    <w:p>
      <w:pPr>
        <w:ind w:firstLine="1200"/>
        <w:tabs>
          <w:tab w:val="left" w:pos="709" w:leader="none"/>
        </w:tabs>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 购 人：</w:t>
      </w:r>
      <w:bookmarkStart w:id="2" w:name="OLE_LINK15"/>
      <w:r/>
      <w:bookmarkStart w:id="3" w:name="OLE_LINK16"/>
      <w:r>
        <w:rPr>
          <w:rFonts w:hint="eastAsia" w:ascii="宋体" w:hAnsi="宋体" w:cs="宋体"/>
          <w:color w:val="auto"/>
          <w:sz w:val="30"/>
          <w:szCs w:val="30"/>
          <w:highlight w:val="none"/>
        </w:rPr>
        <w:t xml:space="preserve">江苏省汾湖高新技术产业开发区城乡发展局</w:t>
      </w:r>
      <w:bookmarkEnd w:id="2"/>
      <w:r/>
      <w:bookmarkEnd w:id="3"/>
      <w:r/>
      <w:r/>
    </w:p>
    <w:p>
      <w:pPr>
        <w:jc w:val="center"/>
        <w:rPr>
          <w:rFonts w:hint="eastAsia" w:ascii="宋体" w:hAnsi="宋体" w:cs="宋体"/>
          <w:color w:val="auto"/>
          <w:spacing w:val="-14"/>
          <w:sz w:val="30"/>
          <w:highlight w:val="none"/>
        </w:rPr>
      </w:pPr>
      <w:r>
        <w:rPr>
          <w:rFonts w:hint="eastAsia" w:ascii="宋体" w:hAnsi="宋体" w:cs="宋体"/>
          <w:color w:val="auto"/>
          <w:spacing w:val="-14"/>
          <w:sz w:val="30"/>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苏州通宜房地产土地评估咨询有限公司</w:t>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lang w:val="zh-CN"/>
        </w:rPr>
        <w:t xml:space="preserve">二</w:t>
      </w:r>
      <w:r>
        <w:rPr>
          <w:rFonts w:hint="eastAsia" w:ascii="宋体" w:hAnsi="宋体" w:cs="宋体"/>
          <w:color w:val="auto"/>
          <w:sz w:val="30"/>
          <w:szCs w:val="30"/>
          <w:highlight w:val="none"/>
        </w:rPr>
        <w:t xml:space="preserve">〇二五</w:t>
      </w:r>
      <w:r>
        <w:rPr>
          <w:rFonts w:hint="eastAsia" w:ascii="宋体" w:hAnsi="宋体" w:cs="宋体"/>
          <w:color w:val="auto"/>
          <w:sz w:val="30"/>
          <w:szCs w:val="30"/>
          <w:highlight w:val="none"/>
          <w:lang w:val="zh-CN"/>
        </w:rPr>
        <w:t xml:space="preserve">年</w:t>
      </w:r>
      <w:r>
        <w:rPr>
          <w:rFonts w:hint="eastAsia" w:ascii="宋体" w:hAnsi="宋体" w:cs="宋体"/>
          <w:color w:val="auto"/>
          <w:sz w:val="30"/>
          <w:szCs w:val="30"/>
          <w:highlight w:val="none"/>
        </w:rPr>
        <w:t xml:space="preserve">十</w:t>
      </w:r>
      <w:r>
        <w:rPr>
          <w:rFonts w:hint="eastAsia" w:ascii="宋体" w:hAnsi="宋体" w:cs="宋体"/>
          <w:color w:val="auto"/>
          <w:sz w:val="30"/>
          <w:szCs w:val="30"/>
          <w:highlight w:val="none"/>
          <w:lang w:val="en-US" w:eastAsia="zh-CN"/>
        </w:rPr>
        <w:t xml:space="preserve">二</w:t>
      </w:r>
      <w:r>
        <w:rPr>
          <w:rFonts w:hint="eastAsia" w:ascii="宋体" w:hAnsi="宋体" w:cs="宋体"/>
          <w:color w:val="auto"/>
          <w:sz w:val="30"/>
          <w:szCs w:val="30"/>
          <w:highlight w:val="none"/>
        </w:rPr>
        <w:t xml:space="preserve">月</w:t>
      </w:r>
      <w:r/>
    </w:p>
    <w:p>
      <w:pPr>
        <w:jc w:val="center"/>
        <w:rPr>
          <w:rFonts w:hint="eastAsia" w:ascii="宋体" w:hAnsi="宋体" w:cs="宋体"/>
          <w:b/>
          <w:color w:val="auto"/>
          <w:sz w:val="52"/>
          <w:szCs w:val="52"/>
          <w:highlight w:val="none"/>
        </w:rPr>
      </w:pPr>
      <w:r/>
      <w:bookmarkStart w:id="4" w:name="_Toc27525"/>
      <w:r/>
      <w:r/>
    </w:p>
    <w:p>
      <w:pPr>
        <w:jc w:val="center"/>
        <w:rPr>
          <w:rFonts w:hint="eastAsia" w:ascii="宋体" w:hAnsi="宋体" w:cs="宋体"/>
          <w:b/>
          <w:color w:val="auto"/>
          <w:sz w:val="52"/>
          <w:szCs w:val="5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417" w:bottom="1134" w:left="1417" w:header="851" w:footer="850" w:gutter="0"/>
          <w:cols w:num="1" w:sep="0" w:space="1701" w:equalWidth="1"/>
          <w:docGrid w:linePitch="360"/>
        </w:sectPr>
      </w:pPr>
      <w:r>
        <w:rPr>
          <w:rFonts w:hint="eastAsia" w:ascii="宋体" w:hAnsi="宋体" w:cs="宋体"/>
          <w:b/>
          <w:color w:val="auto"/>
          <w:sz w:val="52"/>
          <w:szCs w:val="52"/>
          <w:highlight w:val="none"/>
        </w:rPr>
      </w:r>
      <w:r/>
    </w:p>
    <w:p>
      <w:pPr>
        <w:jc w:val="center"/>
        <w:pageBreakBefore/>
        <w:rPr>
          <w:rFonts w:hint="eastAsia" w:ascii="宋体" w:hAnsi="宋体" w:cs="宋体"/>
          <w:b/>
          <w:color w:val="auto"/>
          <w:sz w:val="32"/>
          <w:highlight w:val="none"/>
        </w:rPr>
      </w:pPr>
      <w:r>
        <w:rPr>
          <w:rFonts w:hint="eastAsia" w:ascii="宋体" w:hAnsi="宋体" w:cs="宋体"/>
          <w:b/>
          <w:color w:val="auto"/>
          <w:sz w:val="32"/>
          <w:highlight w:val="none"/>
        </w:rPr>
        <w:t xml:space="preserve">前附表</w:t>
      </w:r>
      <w:r/>
    </w:p>
    <w:p>
      <w:pPr>
        <w:pStyle w:val="1102"/>
        <w:ind w:firstLine="420"/>
        <w:rPr>
          <w:rFonts w:hint="eastAsia" w:ascii="宋体" w:hAnsi="宋体" w:cs="宋体"/>
          <w:color w:val="auto"/>
          <w:highlight w:val="none"/>
        </w:rPr>
      </w:pPr>
      <w:r>
        <w:rPr>
          <w:rFonts w:hint="eastAsia" w:ascii="宋体" w:hAnsi="宋体" w:cs="宋体"/>
          <w:color w:val="auto"/>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10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95"/>
        <w:gridCol w:w="6283"/>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6283" w:type="dxa"/>
            <w:vAlign w:val="center"/>
            <w:textDirection w:val="lrTb"/>
            <w:noWrap/>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6283" w:type="dxa"/>
            <w:vAlign w:val="center"/>
            <w:textDirection w:val="lrTb"/>
            <w:noWrap/>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汾湖高新区2026年两河两湖水面长效管护项目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预算金额（元）</w:t>
            </w:r>
            <w:r/>
          </w:p>
        </w:tc>
        <w:tc>
          <w:tcPr>
            <w:tcBorders>
              <w:top w:val="single" w:color="auto" w:sz="4" w:space="0"/>
              <w:left w:val="single" w:color="auto" w:sz="4" w:space="0"/>
              <w:bottom w:val="single" w:color="auto" w:sz="4" w:space="0"/>
              <w:right w:val="single" w:color="auto" w:sz="4" w:space="0"/>
            </w:tcBorders>
            <w:tcW w:w="6283" w:type="dxa"/>
            <w:vAlign w:val="center"/>
            <w:textDirection w:val="lrTb"/>
            <w:noWrap/>
          </w:tcPr>
          <w:p>
            <w:pPr>
              <w:jc w:val="center"/>
              <w:rPr>
                <w:rFonts w:hint="eastAsia" w:eastAsia="宋体"/>
                <w:color w:val="auto"/>
                <w:highlight w:val="none"/>
                <w:lang w:eastAsia="zh-CN"/>
              </w:rPr>
            </w:pPr>
            <w:r>
              <w:rPr>
                <w:rFonts w:hint="eastAsia" w:ascii="宋体" w:hAnsi="宋体" w:cs="宋体"/>
                <w:bCs/>
                <w:color w:val="auto"/>
                <w:szCs w:val="21"/>
                <w:highlight w:val="none"/>
                <w:lang w:eastAsia="zh-CN"/>
              </w:rPr>
              <w:t xml:space="preserve">人民币壹佰柒拾伍万元整（小写：1750000.00元）</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最高限价（元）</w:t>
            </w:r>
            <w:r/>
          </w:p>
        </w:tc>
        <w:tc>
          <w:tcPr>
            <w:tcBorders>
              <w:top w:val="single" w:color="auto" w:sz="4" w:space="0"/>
              <w:left w:val="single" w:color="auto" w:sz="4" w:space="0"/>
              <w:bottom w:val="single" w:color="auto" w:sz="4" w:space="0"/>
              <w:right w:val="single" w:color="auto" w:sz="4" w:space="0"/>
            </w:tcBorders>
            <w:tcW w:w="6283" w:type="dxa"/>
            <w:vAlign w:val="center"/>
            <w:textDirection w:val="lrTb"/>
            <w:noWrap/>
          </w:tcPr>
          <w:p>
            <w:pPr>
              <w:jc w:val="center"/>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人民币</w:t>
            </w:r>
            <w:r>
              <w:rPr>
                <w:rFonts w:hint="eastAsia" w:ascii="宋体" w:hAnsi="宋体" w:cs="宋体"/>
                <w:bCs/>
                <w:color w:val="auto"/>
                <w:szCs w:val="21"/>
                <w:highlight w:val="none"/>
                <w:lang w:val="en-US" w:eastAsia="zh-CN"/>
              </w:rPr>
              <w:t xml:space="preserve">壹佰柒拾贰</w:t>
            </w:r>
            <w:r>
              <w:rPr>
                <w:rFonts w:hint="eastAsia" w:ascii="宋体" w:hAnsi="宋体" w:cs="宋体"/>
                <w:bCs/>
                <w:color w:val="auto"/>
                <w:szCs w:val="21"/>
                <w:highlight w:val="none"/>
                <w:lang w:eastAsia="zh-CN"/>
              </w:rPr>
              <w:t xml:space="preserve">万元整（小写：</w:t>
            </w:r>
            <w:r>
              <w:rPr>
                <w:rFonts w:hint="eastAsia" w:ascii="宋体" w:hAnsi="宋体" w:cs="宋体"/>
                <w:bCs/>
                <w:color w:val="auto"/>
                <w:szCs w:val="21"/>
                <w:highlight w:val="none"/>
                <w:lang w:val="en-US" w:eastAsia="zh-CN"/>
              </w:rPr>
              <w:t xml:space="preserve">1720000</w:t>
            </w:r>
            <w:r>
              <w:rPr>
                <w:rFonts w:hint="eastAsia" w:ascii="宋体" w:hAnsi="宋体" w:cs="宋体"/>
                <w:bCs/>
                <w:color w:val="auto"/>
                <w:szCs w:val="21"/>
                <w:highlight w:val="none"/>
                <w:lang w:eastAsia="zh-CN"/>
              </w:rPr>
              <w:t xml:space="preserve">.00元）</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628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现场勘察</w:t>
            </w:r>
            <w:r/>
          </w:p>
        </w:tc>
        <w:tc>
          <w:tcPr>
            <w:tcBorders>
              <w:top w:val="single" w:color="auto" w:sz="4" w:space="0"/>
              <w:left w:val="single" w:color="auto" w:sz="4" w:space="0"/>
              <w:bottom w:val="single" w:color="auto" w:sz="4" w:space="0"/>
              <w:right w:val="single" w:color="auto" w:sz="4" w:space="0"/>
            </w:tcBorders>
            <w:tcW w:w="628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6283" w:type="dxa"/>
            <w:vAlign w:val="center"/>
            <w:textDirection w:val="lrTb"/>
            <w:noWrap/>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rPr>
                <w:rFonts w:hint="eastAsia" w:ascii="宋体" w:hAnsi="宋体"/>
                <w:color w:val="auto"/>
                <w:highlight w:val="none"/>
              </w:rPr>
              <w:t xml:space="preserve">（成交后，成交单位向招标代理机构提供与电子投标文件内容一致的纸质投标文件两份。）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响应货币</w:t>
            </w:r>
            <w:r/>
          </w:p>
        </w:tc>
        <w:tc>
          <w:tcPr>
            <w:tcBorders>
              <w:top w:val="single" w:color="auto" w:sz="4" w:space="0"/>
              <w:left w:val="single" w:color="auto" w:sz="4" w:space="0"/>
              <w:bottom w:val="single" w:color="auto" w:sz="4" w:space="0"/>
              <w:right w:val="single" w:color="auto" w:sz="4" w:space="0"/>
            </w:tcBorders>
            <w:tcW w:w="628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pStyle w:val="1106"/>
              <w:ind w:firstLine="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628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日历天（从响应截止之日算起）</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pStyle w:val="1106"/>
              <w:ind w:firstLine="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628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2025年12月</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日09：30 （北京时间）</w:t>
            </w:r>
            <w:r/>
          </w:p>
        </w:tc>
      </w:tr>
      <w:tr>
        <w:trPr>
          <w:jc w:val="center"/>
          <w:trHeight w:val="680"/>
        </w:trPr>
        <w:tc>
          <w:tcPr>
            <w:tcBorders>
              <w:left w:val="single" w:color="auto" w:sz="4" w:space="0"/>
              <w:right w:val="single" w:color="auto" w:sz="4" w:space="0"/>
            </w:tcBorders>
            <w:tcW w:w="639" w:type="dxa"/>
            <w:vAlign w:val="center"/>
            <w:vMerge w:val="restart"/>
            <w:textDirection w:val="lrTb"/>
            <w:noWrap/>
          </w:tcPr>
          <w:p>
            <w:pPr>
              <w:pStyle w:val="1106"/>
              <w:ind w:firstLine="0"/>
              <w:jc w:val="center"/>
              <w:rPr>
                <w:rFonts w:hint="eastAsia" w:ascii="宋体" w:hAnsi="宋体" w:cs="宋体"/>
                <w:color w:val="auto"/>
                <w:szCs w:val="21"/>
                <w:highlight w:val="none"/>
                <w:lang w:val="en-US"/>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628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2025年12月</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日09：30 （北京时间）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6283" w:type="dxa"/>
            <w:vAlign w:val="center"/>
            <w:textDirection w:val="lrTb"/>
            <w:noWrap/>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2025年12月</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日09：30（北京时间）</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“苏采云”系统（网址：</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center"/>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6283" w:type="dxa"/>
            <w:vAlign w:val="center"/>
            <w:textDirection w:val="lrTb"/>
            <w:noWrap/>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2025年12月</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日09：30（北京时间）</w:t>
            </w:r>
            <w:r/>
          </w:p>
          <w:p>
            <w:pPr>
              <w:jc w:val="center"/>
              <w:spacing w:line="312" w:lineRule="auto"/>
              <w:rPr>
                <w:rFonts w:hint="eastAsia" w:ascii="宋体" w:hAnsi="宋体" w:cs="宋体"/>
                <w:b/>
                <w:color w:val="auto"/>
                <w:szCs w:val="21"/>
                <w:highlight w:val="none"/>
              </w:rPr>
            </w:pPr>
            <w:r>
              <w:rPr>
                <w:rFonts w:hint="eastAsia" w:ascii="宋体" w:hAnsi="宋体" w:cs="宋体"/>
                <w:color w:val="auto"/>
                <w:szCs w:val="21"/>
                <w:highlight w:val="none"/>
              </w:rPr>
              <w:t xml:space="preserve">苏州市吴江区开平路998号行政服务大楼三楼</w:t>
            </w:r>
            <w:r/>
          </w:p>
        </w:tc>
      </w:tr>
    </w:tbl>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sectPr>
          <w:footerReference w:type="default" r:id="rId16"/>
          <w:footnotePr/>
          <w:endnotePr/>
          <w:type w:val="nextPage"/>
          <w:pgSz w:w="11906" w:h="16838" w:orient="portrait"/>
          <w:pgMar w:top="1440" w:right="1417" w:bottom="1134" w:left="1417" w:header="851" w:footer="850" w:gutter="0"/>
          <w:pgNumType w:start="1"/>
          <w:cols w:num="1" w:sep="0" w:space="1701" w:equalWidth="1"/>
          <w:docGrid w:linePitch="360"/>
        </w:sect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目    录</w:t>
      </w:r>
      <w:bookmarkEnd w:id="4"/>
      <w:r/>
      <w:r/>
    </w:p>
    <w:p>
      <w:pPr>
        <w:pStyle w:val="1107"/>
        <w:ind w:left="0"/>
        <w:jc w:val="center"/>
        <w:spacing w:after="0" w:line="240" w:lineRule="auto"/>
        <w:rPr>
          <w:rFonts w:hint="eastAsia" w:ascii="宋体" w:hAnsi="宋体" w:cs="宋体"/>
          <w:b/>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"1-2" \h \u </w:instrText>
      </w:r>
      <w:r>
        <w:rPr>
          <w:rFonts w:hint="eastAsia" w:ascii="宋体" w:hAnsi="宋体" w:cs="宋体"/>
          <w:color w:val="auto"/>
          <w:highlight w:val="none"/>
        </w:rPr>
        <w:fldChar w:fldCharType="separate"/>
      </w:r>
      <w:r/>
    </w:p>
    <w:p>
      <w:pPr>
        <w:pStyle w:val="1108"/>
        <w:tabs>
          <w:tab w:val="right" w:pos="9071"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"_Toc2745" </w:instrText>
      </w:r>
      <w:r>
        <w:rPr>
          <w:color w:val="auto"/>
          <w:highlight w:val="none"/>
        </w:rPr>
        <w:fldChar w:fldCharType="separate"/>
      </w:r>
      <w:r>
        <w:rPr>
          <w:rFonts w:hint="eastAsia" w:ascii="宋体" w:hAnsi="宋体" w:cs="宋体"/>
          <w:color w:val="auto"/>
          <w:highlight w:val="none"/>
        </w:rPr>
        <w:t xml:space="preserve">一、竞争性磋商邀请函</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_Toc2745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1</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1108"/>
        <w:tabs>
          <w:tab w:val="right" w:pos="9071"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"_Toc264" </w:instrText>
      </w:r>
      <w:r>
        <w:rPr>
          <w:color w:val="auto"/>
          <w:highlight w:val="none"/>
        </w:rPr>
        <w:fldChar w:fldCharType="separate"/>
      </w:r>
      <w:r>
        <w:rPr>
          <w:rFonts w:hint="eastAsia" w:ascii="宋体" w:hAnsi="宋体" w:cs="宋体"/>
          <w:color w:val="auto"/>
          <w:highlight w:val="none"/>
        </w:rPr>
        <w:t xml:space="preserve">二、磋商供应商须知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_Toc264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5</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1108"/>
        <w:tabs>
          <w:tab w:val="right" w:pos="9071"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"_Toc705" </w:instrText>
      </w:r>
      <w:r>
        <w:rPr>
          <w:color w:val="auto"/>
          <w:highlight w:val="none"/>
        </w:rPr>
        <w:fldChar w:fldCharType="separate"/>
      </w:r>
      <w:r>
        <w:rPr>
          <w:rFonts w:hint="eastAsia" w:ascii="宋体" w:hAnsi="宋体" w:cs="宋体"/>
          <w:color w:val="auto"/>
          <w:highlight w:val="none"/>
        </w:rPr>
        <w:t xml:space="preserve">三、采购需求</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_Toc705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19</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1108"/>
        <w:tabs>
          <w:tab w:val="right" w:pos="9071"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"_Toc20502" </w:instrText>
      </w:r>
      <w:r>
        <w:rPr>
          <w:color w:val="auto"/>
          <w:highlight w:val="none"/>
        </w:rPr>
        <w:fldChar w:fldCharType="separate"/>
      </w:r>
      <w:r>
        <w:rPr>
          <w:rFonts w:hint="eastAsia" w:ascii="宋体" w:hAnsi="宋体" w:cs="宋体"/>
          <w:color w:val="auto"/>
          <w:highlight w:val="none"/>
        </w:rPr>
        <w:t xml:space="preserve">四、评标办法及评分标准</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_Toc20502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27</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1108"/>
        <w:tabs>
          <w:tab w:val="right" w:pos="9071"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"_Toc12103" </w:instrText>
      </w:r>
      <w:r>
        <w:rPr>
          <w:color w:val="auto"/>
          <w:highlight w:val="none"/>
        </w:rPr>
        <w:fldChar w:fldCharType="separate"/>
      </w:r>
      <w:r>
        <w:rPr>
          <w:rFonts w:hint="eastAsia" w:ascii="宋体" w:hAnsi="宋体" w:cs="宋体"/>
          <w:color w:val="auto"/>
          <w:highlight w:val="none"/>
        </w:rPr>
        <w:t xml:space="preserve">五、合同主要条款</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_Toc12103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33</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1108"/>
        <w:tabs>
          <w:tab w:val="right" w:pos="9071" w:leader="dot"/>
        </w:tabs>
        <w:rPr>
          <w:rFonts w:hint="eastAsia" w:ascii="宋体" w:hAnsi="宋体" w:eastAsia="宋体" w:cs="宋体"/>
          <w:color w:val="auto"/>
          <w:highlight w:val="none"/>
          <w:lang w:eastAsia="zh-CN"/>
        </w:rPr>
      </w:pPr>
      <w:r>
        <w:rPr>
          <w:color w:val="auto"/>
          <w:highlight w:val="none"/>
        </w:rPr>
        <w:fldChar w:fldCharType="begin"/>
      </w:r>
      <w:r>
        <w:rPr>
          <w:color w:val="auto"/>
          <w:highlight w:val="none"/>
        </w:rPr>
        <w:instrText xml:space="preserve"> HYPERLINK \l "_Toc16404" </w:instrText>
      </w:r>
      <w:r>
        <w:rPr>
          <w:color w:val="auto"/>
          <w:highlight w:val="none"/>
        </w:rPr>
        <w:fldChar w:fldCharType="separate"/>
      </w:r>
      <w:r>
        <w:rPr>
          <w:rFonts w:hint="eastAsia" w:ascii="宋体" w:hAnsi="宋体" w:cs="宋体"/>
          <w:color w:val="auto"/>
          <w:highlight w:val="none"/>
        </w:rPr>
        <w:t xml:space="preserve">六、响应文件格式</w:t>
      </w:r>
      <w:r>
        <w:rPr>
          <w:rFonts w:hint="eastAsia" w:ascii="宋体" w:hAnsi="宋体" w:cs="宋体"/>
          <w:color w:val="auto"/>
          <w:highlight w:val="none"/>
        </w:rPr>
        <w:tab/>
      </w:r>
      <w:r>
        <w:rPr>
          <w:rFonts w:hint="eastAsia" w:ascii="宋体" w:hAnsi="宋体" w:cs="宋体"/>
          <w:color w:val="auto"/>
          <w:highlight w:val="none"/>
        </w:rPr>
        <w:t xml:space="preserve">5</w:t>
      </w:r>
      <w:r>
        <w:rPr>
          <w:rFonts w:hint="eastAsia" w:ascii="宋体" w:hAnsi="宋体" w:cs="宋体"/>
          <w:color w:val="auto"/>
          <w:highlight w:val="none"/>
        </w:rPr>
        <w:fldChar w:fldCharType="end"/>
      </w:r>
      <w:r>
        <w:rPr>
          <w:rFonts w:hint="eastAsia" w:ascii="宋体" w:hAnsi="宋体" w:cs="宋体"/>
          <w:color w:val="auto"/>
          <w:highlight w:val="none"/>
          <w:lang w:val="en-US" w:eastAsia="zh-CN"/>
        </w:rPr>
        <w:t xml:space="preserve">1</w:t>
      </w:r>
      <w:r/>
    </w:p>
    <w:p>
      <w:pPr>
        <w:pStyle w:val="1089"/>
        <w:rPr>
          <w:rFonts w:hint="eastAsia" w:ascii="宋体" w:hAnsi="宋体" w:cs="宋体"/>
          <w:color w:val="auto"/>
          <w:highlight w:val="none"/>
        </w:rPr>
      </w:pPr>
      <w:r>
        <w:rPr>
          <w:rFonts w:hint="eastAsia" w:ascii="宋体" w:hAnsi="宋体" w:cs="宋体"/>
          <w:color w:val="auto"/>
          <w:highlight w:val="none"/>
        </w:rPr>
        <w:fldChar w:fldCharType="end"/>
      </w:r>
      <w:bookmarkStart w:id="5" w:name="_Toc15176"/>
      <w:r/>
      <w:bookmarkStart w:id="6" w:name="_Toc2745"/>
      <w:r/>
      <w:r/>
    </w:p>
    <w:p>
      <w:pPr>
        <w:pStyle w:val="1089"/>
        <w:rPr>
          <w:rFonts w:hint="eastAsia" w:ascii="宋体" w:hAnsi="宋体" w:cs="宋体"/>
          <w:color w:val="auto"/>
          <w:highlight w:val="none"/>
        </w:rPr>
        <w:sectPr>
          <w:footerReference w:type="default" r:id="rId17"/>
          <w:footnotePr/>
          <w:endnotePr/>
          <w:type w:val="nextPage"/>
          <w:pgSz w:w="11906" w:h="16838" w:orient="portrait"/>
          <w:pgMar w:top="1440" w:right="1417" w:bottom="1134" w:left="1417" w:header="851" w:footer="850" w:gutter="0"/>
          <w:cols w:num="1" w:sep="0" w:space="1701" w:equalWidth="1"/>
          <w:docGrid w:linePitch="360"/>
        </w:sectPr>
      </w:pPr>
      <w:r/>
      <w:bookmarkStart w:id="83" w:name="_GoBack"/>
      <w:r/>
      <w:bookmarkEnd w:id="83"/>
      <w:r/>
      <w:r/>
    </w:p>
    <w:p>
      <w:pPr>
        <w:pStyle w:val="1089"/>
        <w:rPr>
          <w:rFonts w:hint="eastAsia" w:ascii="宋体" w:hAnsi="宋体" w:cs="宋体"/>
          <w:color w:val="auto"/>
          <w:highlight w:val="none"/>
        </w:rPr>
      </w:pPr>
      <w:r>
        <w:rPr>
          <w:rFonts w:hint="eastAsia" w:ascii="宋体" w:hAnsi="宋体" w:cs="宋体"/>
          <w:color w:val="auto"/>
          <w:highlight w:val="none"/>
        </w:rPr>
        <w:t xml:space="preserve">一、</w:t>
      </w:r>
      <w:bookmarkStart w:id="7" w:name="_Toc1"/>
      <w:r>
        <w:rPr>
          <w:rFonts w:hint="eastAsia" w:ascii="宋体" w:hAnsi="宋体" w:cs="宋体"/>
          <w:color w:val="auto"/>
          <w:highlight w:val="none"/>
        </w:rPr>
        <w:t xml:space="preserve">竞争性磋商邀请函</w:t>
      </w:r>
      <w:bookmarkEnd w:id="5"/>
      <w:r/>
      <w:bookmarkEnd w:id="6"/>
      <w:r/>
      <w:bookmarkEnd w:id="7"/>
      <w:r/>
      <w:r/>
    </w:p>
    <w:tbl>
      <w:tblPr>
        <w:tblStyle w:val="11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spacing w:after="210"/>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项目概况</w:t>
            </w:r>
            <w:r/>
          </w:p>
          <w:p>
            <w:pPr>
              <w:spacing w:after="210"/>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t xml:space="preserve">汾湖高新区2026年两河两湖水面长效管护项目JSZC-320509-SZTY-C2025-0019</w:t>
            </w:r>
            <w:r>
              <w:rPr>
                <w:rFonts w:hint="eastAsia" w:ascii="宋体" w:hAnsi="宋体" w:cs="宋体"/>
                <w:color w:val="auto"/>
                <w:szCs w:val="21"/>
                <w:highlight w:val="none"/>
              </w:rPr>
              <w:t xml:space="preserve">采购项目的潜在供应商应在“苏采云”系统获取采购文件，并于2025-12-</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 09:30（北京时间）前提交响应文件。</w:t>
            </w:r>
            <w:r/>
          </w:p>
        </w:tc>
      </w:tr>
    </w:tbl>
    <w:p>
      <w:pPr>
        <w:pStyle w:val="1090"/>
        <w:ind w:firstLine="422"/>
        <w:spacing w:before="0" w:after="0" w:line="440" w:lineRule="exact"/>
        <w:shd w:val="clear" w:color="ffffff" w:fill="ffff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一、项目基本情况</w:t>
      </w:r>
      <w:r/>
    </w:p>
    <w:p>
      <w:pPr>
        <w:numPr>
          <w:ilvl w:val="255"/>
          <w:numId w:val="0"/>
        </w:num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JSZC-320509-SZTY-C2025-0019</w:t>
      </w:r>
      <w:r>
        <w:rPr>
          <w:rFonts w:hint="eastAsia" w:ascii="宋体" w:hAnsi="宋体" w:cs="宋体"/>
          <w:color w:val="auto"/>
          <w:szCs w:val="21"/>
          <w:highlight w:val="none"/>
        </w:rPr>
        <w:t xml:space="preserve"> </w:t>
      </w:r>
      <w:r/>
    </w:p>
    <w:p>
      <w:pPr>
        <w:numPr>
          <w:ilvl w:val="255"/>
          <w:numId w:val="0"/>
        </w:numPr>
        <w:ind w:firstLine="420"/>
        <w:spacing w:line="440" w:lineRule="exact"/>
        <w:shd w:val="clear" w:color="ffffff" w:fill="ffff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bookmarkStart w:id="8" w:name="OLE_LINK17"/>
      <w:r>
        <w:rPr>
          <w:rFonts w:hint="eastAsia" w:ascii="宋体" w:hAnsi="宋体" w:cs="宋体"/>
          <w:color w:val="auto"/>
          <w:szCs w:val="21"/>
          <w:highlight w:val="none"/>
        </w:rPr>
        <w:t xml:space="preserve">2、项目名称：</w:t>
      </w:r>
      <w:bookmarkStart w:id="9" w:name="OLE_LINK7"/>
      <w:r>
        <w:rPr>
          <w:rFonts w:hint="eastAsia" w:ascii="宋体" w:hAnsi="宋体" w:cs="宋体"/>
          <w:color w:val="auto"/>
          <w:szCs w:val="21"/>
          <w:highlight w:val="none"/>
          <w:lang w:eastAsia="zh-CN"/>
        </w:rPr>
        <w:t xml:space="preserve">汾湖高新区2026年两河两湖水面长效管护项目</w:t>
      </w:r>
      <w:bookmarkEnd w:id="9"/>
      <w:r/>
      <w:r/>
    </w:p>
    <w:p>
      <w:pPr>
        <w:numPr>
          <w:ilvl w:val="255"/>
          <w:numId w:val="0"/>
        </w:num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3、采购方式：竞争性磋商 </w:t>
      </w:r>
      <w:r/>
    </w:p>
    <w:p>
      <w:pPr>
        <w:numPr>
          <w:ilvl w:val="255"/>
          <w:numId w:val="0"/>
        </w:numPr>
        <w:ind w:firstLine="420"/>
        <w:spacing w:line="440" w:lineRule="exact"/>
        <w:shd w:val="clear" w:color="ffffff" w:fill="ffff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w:t>
      </w:r>
      <w:bookmarkStart w:id="10" w:name="OLE_LINK25"/>
      <w:r>
        <w:rPr>
          <w:rFonts w:hint="eastAsia" w:ascii="宋体" w:hAnsi="宋体" w:cs="宋体"/>
          <w:color w:val="auto"/>
          <w:szCs w:val="21"/>
          <w:highlight w:val="none"/>
        </w:rPr>
        <w:t xml:space="preserve">预算金额：</w:t>
      </w:r>
      <w:bookmarkEnd w:id="10"/>
      <w:r>
        <w:rPr>
          <w:rFonts w:hint="eastAsia" w:ascii="宋体" w:hAnsi="宋体" w:cs="宋体"/>
          <w:bCs/>
          <w:color w:val="auto"/>
          <w:szCs w:val="21"/>
          <w:highlight w:val="none"/>
          <w:lang w:eastAsia="zh-CN"/>
        </w:rPr>
        <w:t xml:space="preserve">人民币壹佰柒拾伍万元整（小写：1750000.00元）</w:t>
      </w:r>
      <w:r/>
    </w:p>
    <w:p>
      <w:pPr>
        <w:numPr>
          <w:ilvl w:val="255"/>
          <w:numId w:val="0"/>
        </w:numPr>
        <w:ind w:firstLine="420"/>
        <w:spacing w:line="440" w:lineRule="exact"/>
        <w:shd w:val="clear" w:color="ffffff" w:fill="ffff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w:t>
      </w:r>
      <w:r>
        <w:rPr>
          <w:rFonts w:hint="eastAsia" w:ascii="宋体" w:hAnsi="宋体"/>
          <w:color w:val="auto"/>
          <w:szCs w:val="21"/>
          <w:highlight w:val="none"/>
        </w:rPr>
        <w:t xml:space="preserve">最高限价：</w:t>
      </w:r>
      <w:bookmarkEnd w:id="8"/>
      <w:r>
        <w:rPr>
          <w:rFonts w:hint="eastAsia" w:ascii="宋体" w:hAnsi="宋体" w:cs="宋体"/>
          <w:bCs/>
          <w:color w:val="auto"/>
          <w:szCs w:val="21"/>
          <w:highlight w:val="none"/>
          <w:lang w:eastAsia="zh-CN"/>
        </w:rPr>
        <w:t xml:space="preserve">人民币</w:t>
      </w:r>
      <w:r>
        <w:rPr>
          <w:rFonts w:hint="eastAsia" w:ascii="宋体" w:hAnsi="宋体" w:cs="宋体"/>
          <w:bCs/>
          <w:color w:val="auto"/>
          <w:szCs w:val="21"/>
          <w:highlight w:val="none"/>
          <w:lang w:val="en-US" w:eastAsia="zh-CN"/>
        </w:rPr>
        <w:t xml:space="preserve">壹佰柒拾贰</w:t>
      </w:r>
      <w:r>
        <w:rPr>
          <w:rFonts w:hint="eastAsia" w:ascii="宋体" w:hAnsi="宋体" w:cs="宋体"/>
          <w:bCs/>
          <w:color w:val="auto"/>
          <w:szCs w:val="21"/>
          <w:highlight w:val="none"/>
          <w:lang w:eastAsia="zh-CN"/>
        </w:rPr>
        <w:t xml:space="preserve">万元整（小写：</w:t>
      </w:r>
      <w:r>
        <w:rPr>
          <w:rFonts w:hint="eastAsia" w:ascii="宋体" w:hAnsi="宋体" w:cs="宋体"/>
          <w:bCs/>
          <w:color w:val="auto"/>
          <w:szCs w:val="21"/>
          <w:highlight w:val="none"/>
          <w:lang w:val="en-US" w:eastAsia="zh-CN"/>
        </w:rPr>
        <w:t xml:space="preserve">1720000</w:t>
      </w:r>
      <w:r>
        <w:rPr>
          <w:rFonts w:hint="eastAsia" w:ascii="宋体" w:hAnsi="宋体" w:cs="宋体"/>
          <w:bCs/>
          <w:color w:val="auto"/>
          <w:szCs w:val="21"/>
          <w:highlight w:val="none"/>
          <w:lang w:eastAsia="zh-CN"/>
        </w:rPr>
        <w:t xml:space="preserve">.00元）</w:t>
      </w:r>
      <w:r/>
    </w:p>
    <w:p>
      <w:pPr>
        <w:numPr>
          <w:ilvl w:val="255"/>
          <w:numId w:val="0"/>
        </w:numPr>
        <w:ind w:firstLine="420"/>
        <w:spacing w:line="440" w:lineRule="exact"/>
        <w:shd w:val="clear" w:color="ffffff" w:fill="ffffff"/>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w:t>
      </w:r>
      <w:r>
        <w:rPr>
          <w:rFonts w:hint="eastAsia" w:ascii="宋体" w:hAnsi="宋体"/>
          <w:color w:val="auto"/>
          <w:szCs w:val="21"/>
          <w:highlight w:val="none"/>
        </w:rPr>
        <w:t xml:space="preserve">采购需求：</w:t>
      </w:r>
      <w:r>
        <w:rPr>
          <w:rFonts w:hint="eastAsia" w:ascii="宋体" w:hAnsi="宋体" w:cs="宋体"/>
          <w:bCs/>
          <w:color w:val="auto"/>
          <w:szCs w:val="21"/>
          <w:highlight w:val="none"/>
          <w:lang w:eastAsia="zh-CN"/>
        </w:rPr>
        <w:t xml:space="preserve">汾湖高新区2026年两河两湖水面长效管护</w:t>
      </w:r>
      <w:r>
        <w:rPr>
          <w:rFonts w:hint="eastAsia" w:ascii="宋体" w:hAnsi="宋体" w:cs="宋体"/>
          <w:bCs/>
          <w:color w:val="auto"/>
          <w:szCs w:val="21"/>
          <w:highlight w:val="none"/>
        </w:rPr>
        <w:t xml:space="preserve">项目</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项目</w:t>
      </w:r>
      <w:r>
        <w:rPr>
          <w:rFonts w:hint="eastAsia" w:ascii="宋体" w:hAnsi="宋体" w:cs="宋体"/>
          <w:bCs/>
          <w:color w:val="auto"/>
          <w:szCs w:val="21"/>
          <w:highlight w:val="none"/>
        </w:rPr>
        <w:t xml:space="preserve">位于苏州市吴江区汾湖高新区，需要对吴天贞荡、雪落漾、华士江、道田江进行水面长效管护工作</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管护</w:t>
      </w:r>
      <w:r>
        <w:rPr>
          <w:rFonts w:hint="eastAsia" w:ascii="宋体" w:hAnsi="宋体"/>
          <w:color w:val="auto"/>
          <w:szCs w:val="21"/>
          <w:highlight w:val="none"/>
        </w:rPr>
        <w:t xml:space="preserve">清单详见第三章采购需求。</w:t>
      </w:r>
      <w:r/>
    </w:p>
    <w:p>
      <w:pPr>
        <w:numPr>
          <w:ilvl w:val="255"/>
          <w:numId w:val="0"/>
        </w:num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7、合同履行期限：1年，服务起止日期以合同上签订的为准。 </w:t>
      </w:r>
      <w:r/>
    </w:p>
    <w:p>
      <w:pPr>
        <w:numPr>
          <w:ilvl w:val="255"/>
          <w:numId w:val="0"/>
        </w:numPr>
        <w:ind w:firstLine="420"/>
        <w:spacing w:line="440" w:lineRule="exact"/>
        <w:shd w:val="clear" w:color="ffffff" w:fill="ffffff"/>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8、本项目（是/否）接受联合体：否 </w:t>
      </w:r>
      <w:r/>
    </w:p>
    <w:p>
      <w:pPr>
        <w:numPr>
          <w:ilvl w:val="255"/>
          <w:numId w:val="0"/>
        </w:numPr>
        <w:ind w:firstLine="420"/>
        <w:spacing w:line="440" w:lineRule="exact"/>
        <w:shd w:val="clear" w:color="ffffff" w:fill="ffffff"/>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9、本项目不允许转包、分包。</w:t>
      </w:r>
      <w:r/>
    </w:p>
    <w:p>
      <w:pPr>
        <w:pStyle w:val="1090"/>
        <w:ind w:firstLine="422"/>
        <w:spacing w:before="0" w:after="0" w:line="440" w:lineRule="exact"/>
        <w:shd w:val="clear" w:color="ffffff" w:fill="ffff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二、申请人的资格要求：</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（一）满足</w:t>
      </w:r>
      <w:bookmarkStart w:id="11" w:name="OLE_LINK42"/>
      <w:r>
        <w:rPr>
          <w:rFonts w:hint="eastAsia" w:ascii="宋体" w:hAnsi="宋体" w:cs="宋体"/>
          <w:color w:val="auto"/>
          <w:szCs w:val="21"/>
          <w:highlight w:val="none"/>
        </w:rPr>
        <w:t xml:space="preserve">《中华人民共和国政府采购法》第二十二条规定</w:t>
      </w:r>
      <w:bookmarkEnd w:id="11"/>
      <w:r>
        <w:rPr>
          <w:rFonts w:hint="eastAsia" w:ascii="宋体" w:hAnsi="宋体" w:cs="宋体"/>
          <w:color w:val="auto"/>
          <w:szCs w:val="21"/>
          <w:highlight w:val="none"/>
        </w:rPr>
        <w:t xml:space="preserve">：</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1.具有独立承担民事责任的能力</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2.具有良好的商业信誉和健全的财务会计制度</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3.具有履行合同所必需的设备和专业技术能力</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4.有依法缴纳税收和社会保障资金的良好记录</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5.参加政府采购活动前三年内，在经营活动中没有重大违法记录。</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6.法律、行政法规规定的其他条件。</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w:t>
      </w:r>
      <w:bookmarkStart w:id="12" w:name="OLE_LINK9"/>
      <w:r>
        <w:rPr>
          <w:rFonts w:hint="eastAsia" w:ascii="宋体" w:hAnsi="宋体" w:cs="宋体"/>
          <w:color w:val="auto"/>
          <w:szCs w:val="21"/>
          <w:highlight w:val="none"/>
        </w:rPr>
        <w:t xml:space="preserve">落实政府采购政策需满足的资格要求：</w:t>
      </w:r>
      <w:r>
        <w:rPr>
          <w:rFonts w:hint="eastAsia" w:ascii="宋体" w:hAnsi="宋体" w:cs="宋体"/>
          <w:b/>
          <w:color w:val="auto"/>
          <w:szCs w:val="21"/>
          <w:highlight w:val="none"/>
        </w:rPr>
        <w:t xml:space="preserve">本项目</w:t>
      </w:r>
      <w:r>
        <w:rPr>
          <w:rFonts w:hint="eastAsia" w:ascii="宋体" w:hAnsi="宋体" w:cs="宋体"/>
          <w:b/>
          <w:color w:val="auto"/>
          <w:szCs w:val="21"/>
          <w:highlight w:val="none"/>
          <w:lang w:val="en-US" w:eastAsia="zh-CN"/>
        </w:rPr>
        <w:t xml:space="preserve">非</w:t>
      </w:r>
      <w:r>
        <w:rPr>
          <w:rFonts w:hint="eastAsia" w:ascii="宋体" w:hAnsi="宋体" w:cs="宋体"/>
          <w:b/>
          <w:color w:val="auto"/>
          <w:szCs w:val="21"/>
          <w:highlight w:val="none"/>
        </w:rPr>
        <w:t xml:space="preserve">专门面向中小企业</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根据《政府采购促进中小企业发展管理办法》（财库〔2020〕46号）及《中小企业划型标准规定》（工信部联企业〔2011〕300号），</w:t>
      </w:r>
      <w:bookmarkStart w:id="13" w:name="OLE_LINK2"/>
      <w:r>
        <w:rPr>
          <w:rFonts w:hint="eastAsia" w:ascii="宋体" w:hAnsi="宋体" w:cs="宋体"/>
          <w:color w:val="auto"/>
          <w:szCs w:val="21"/>
          <w:highlight w:val="none"/>
        </w:rPr>
        <w:t xml:space="preserve">本采购标的对应的中小企业划分标准所属行业为：</w:t>
      </w:r>
      <w:r>
        <w:rPr>
          <w:rFonts w:ascii="宋体" w:hAnsi="宋体" w:cs="宋体"/>
          <w:b/>
          <w:color w:val="auto"/>
          <w:szCs w:val="21"/>
          <w:highlight w:val="none"/>
        </w:rPr>
        <w:t xml:space="preserve">其他未列明行业</w:t>
      </w:r>
      <w:r>
        <w:rPr>
          <w:rFonts w:hint="eastAsia" w:ascii="宋体" w:hAnsi="宋体" w:cs="宋体"/>
          <w:color w:val="auto"/>
          <w:szCs w:val="21"/>
          <w:highlight w:val="none"/>
        </w:rPr>
        <w:t xml:space="preserve">。</w:t>
      </w:r>
      <w:bookmarkEnd w:id="12"/>
      <w:r/>
      <w:bookmarkEnd w:id="13"/>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（三）本项目的特定资格要求：无</w:t>
      </w:r>
      <w:r/>
    </w:p>
    <w:p>
      <w:pPr>
        <w:ind w:firstLine="420"/>
        <w:spacing w:line="44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（四）其他要求：</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未被“信用中国”网站（www.creditchina.gov.cn）列入失信被执行人、重大税收违法案件当事人名单、政府采购严重失信行为记录名单。</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法人的分支机构不得参加本项目的采购活动(除银行、保险、石油石化、电力、电信等行业特殊情况外)。</w:t>
      </w:r>
      <w:r/>
    </w:p>
    <w:p>
      <w:pPr>
        <w:pStyle w:val="1090"/>
        <w:ind w:firstLine="422"/>
        <w:spacing w:before="0" w:after="0" w:line="440" w:lineRule="exact"/>
        <w:shd w:val="clear" w:color="ffffff" w:fill="ffff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三、获取采购文件</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1.本项目实行供应商网上报名，网上报名截止时间：2025年12月</w:t>
      </w:r>
      <w:r>
        <w:rPr>
          <w:rFonts w:hint="eastAsia" w:ascii="宋体" w:hAnsi="宋体" w:cs="宋体"/>
          <w:color w:val="auto"/>
          <w:szCs w:val="21"/>
          <w:highlight w:val="none"/>
          <w:lang w:val="en-US" w:eastAsia="zh-CN"/>
        </w:rPr>
        <w:t xml:space="preserve">18</w:t>
      </w:r>
      <w:r>
        <w:rPr>
          <w:rFonts w:hint="eastAsia" w:ascii="宋体" w:hAnsi="宋体" w:cs="宋体"/>
          <w:color w:val="auto"/>
          <w:szCs w:val="21"/>
          <w:highlight w:val="none"/>
        </w:rPr>
        <w:t xml:space="preserve">日23:59（北京时间） </w:t>
      </w:r>
      <w:r/>
    </w:p>
    <w:p>
      <w:pPr>
        <w:pStyle w:val="1090"/>
        <w:ind w:firstLine="422"/>
        <w:spacing w:before="0" w:after="0" w:line="440" w:lineRule="exact"/>
        <w:shd w:val="clear" w:color="ffffff" w:fill="ffff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四、响应文件提交</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截止时间：2025-12-</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   09：30 （北京时间）</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地点：“苏采云”系统（网址：http://jszfcg.jsczt.cn/） </w:t>
      </w:r>
      <w:r/>
    </w:p>
    <w:p>
      <w:pPr>
        <w:pStyle w:val="1090"/>
        <w:ind w:firstLine="422"/>
        <w:spacing w:before="0" w:after="0" w:line="440" w:lineRule="exact"/>
        <w:shd w:val="clear" w:color="ffffff" w:fill="ffff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五、开启</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时间：2025-12-</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   09:30 （北京时间）</w:t>
      </w:r>
      <w:r/>
    </w:p>
    <w:p>
      <w:pPr>
        <w:ind w:firstLine="420"/>
        <w:spacing w:line="440" w:lineRule="exact"/>
        <w:shd w:val="clear" w:color="ffffff" w:fill="ffffff"/>
        <w:rPr>
          <w:rFonts w:hint="eastAsia"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请供应商确保电脑、系统及其他设备（视频输入输出设备等）无误，且开启直至项目结束始终保持系统在线状态。</w:t>
      </w:r>
      <w:r/>
    </w:p>
    <w:p>
      <w:pPr>
        <w:pStyle w:val="1090"/>
        <w:ind w:firstLine="422"/>
        <w:spacing w:before="0" w:after="0" w:line="440" w:lineRule="exact"/>
        <w:shd w:val="clear" w:color="ffffff" w:fill="ffff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六、公告期限</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自本公告发布之日起3个工作日。</w:t>
      </w:r>
      <w:r/>
    </w:p>
    <w:p>
      <w:pPr>
        <w:pStyle w:val="1090"/>
        <w:ind w:firstLine="422"/>
        <w:spacing w:before="0" w:after="0" w:line="440" w:lineRule="exact"/>
        <w:shd w:val="clear" w:color="ffffff" w:fill="ffff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七、其他补充事宜</w:t>
      </w:r>
      <w:r/>
    </w:p>
    <w:p>
      <w:pPr>
        <w:ind w:left="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bookmarkStart w:id="14" w:name="OLE_LINK50"/>
      <w:r>
        <w:rPr>
          <w:rFonts w:hint="eastAsia" w:ascii="宋体" w:hAnsi="宋体" w:cs="宋体"/>
          <w:color w:val="auto"/>
          <w:szCs w:val="21"/>
          <w:highlight w:val="none"/>
        </w:rPr>
        <w:t xml:space="preserve">1.本次采购的相关信息刊登在苏州市政府采购网、江苏省政府采购网、中国政府采购网。</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2.采购文件获取方式：   </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（1）CA证书办理</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供应商参与政府采</w:t>
      </w:r>
      <w:r>
        <w:rPr>
          <w:rFonts w:hint="eastAsia" w:ascii="宋体" w:hAnsi="宋体" w:cs="宋体"/>
          <w:color w:val="auto"/>
          <w:szCs w:val="21"/>
          <w:highlight w:val="none"/>
        </w:rPr>
        <w:t xml:space="preserve">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（2）参与采购活动</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（3）电子投标准备</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注册咨询：18261002950；</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CA技术咨询电话：400-608-6099；</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签章使用问题：025-83633811、025-83633812、15380932027、15371015030；</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系统使用指导与咨询：联系电话：18261002950；QQ：3048755361、1315179389、895706745。</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3.有关本项目电子投标具体操作方法详见苏采云系统中的客户端使用说明和供应商《操作手册》。</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4.补充通知（如有）。成功获取磋商文件的供应商通过“苏州市政府采购网”或“苏采云”系统自行查看所报项目的补充通知。</w:t>
      </w:r>
      <w:r/>
    </w:p>
    <w:p>
      <w:pPr>
        <w:ind w:left="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5.报名成功的供应商在下载采购文件后，对采购文件有疑问的：</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（1）询问：可在“苏采云系统”中进行询问，询问信息不显示询问人的相关资料。代理机构通过收到询问后应在三个工作日内以网上答复的方式予以解答，由系统回复给询问人。</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质疑：可以在知道或者应知其权益受到损害之日起七个工作日内，以书面形式向代理机构提出质疑（需同时提供网上报名确认单及质疑单位符合本项目合格响应单位资格要求的证明文件，因供应商资格条件或报名时间设定不符合有关法律法规规定等原因使供应商权益受损的质疑除外）。代理机构应当在收到供应商的书面质疑后七个工作日内就委托授权范围内的事项作出答复，并以书面形式通知质疑供应商和与质疑事项有关的供应商，但答复的内容不得涉及商业秘密。</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采购代理机构：苏州通宜房地产土地评估咨询有限公司</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地址:吴江区松陵镇鲈乡南路鲈乡园别墅区103幢</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联系人：董鹏、朱雪芬</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联系电话：0512-63000883</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响应单位提出书面质疑必须有理、有据，不得恶意质疑或提交虚假质疑。否则，一经查实，招标采购人有权依据政府采购的有关规定，报请政府采购监管部门对该响应单位进行相应的行政处罚。</w:t>
      </w:r>
      <w:bookmarkEnd w:id="14"/>
      <w:r/>
      <w:r/>
    </w:p>
    <w:p>
      <w:pPr>
        <w:ind w:firstLine="420"/>
        <w:spacing w:line="440" w:lineRule="exact"/>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6.根据苏州市财政局《关于深入开展苏州市政府采购合同信用融资业务的通知》相关要求，本项目支持政府采购合同信用融资。</w:t>
      </w:r>
      <w:r/>
    </w:p>
    <w:p>
      <w:pPr>
        <w:pStyle w:val="1090"/>
        <w:ind w:firstLine="422"/>
        <w:spacing w:before="0" w:after="0" w:line="440" w:lineRule="exact"/>
        <w:shd w:val="clear" w:color="ffffff" w:fill="ffff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八、凡对本次采购提出询问，请按以下方式联系。</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1.采购人信息</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单位名称：江苏省汾湖高新技术产业开发区城乡发展局 </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单位地址：苏州市吴江区黎里镇芦莘大道1118号</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联系人：项一敏</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联系电话：0512-63135323</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2.采购代理机构信息</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单位名称：苏州通宜房地产土地评估咨询有限公司</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单位地址：</w:t>
      </w:r>
      <w:bookmarkStart w:id="15" w:name="OLE_LINK3"/>
      <w:r>
        <w:rPr>
          <w:rFonts w:hint="eastAsia" w:ascii="宋体" w:hAnsi="宋体" w:cs="宋体"/>
          <w:color w:val="auto"/>
          <w:szCs w:val="21"/>
          <w:highlight w:val="none"/>
        </w:rPr>
        <w:t xml:space="preserve">吴江区松陵镇鲈乡南路鲈乡园别墅区103幢</w:t>
      </w:r>
      <w:bookmarkEnd w:id="15"/>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联系人：董鹏、朱雪芬</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联系电话：0512-63000883</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3.项目联系方式</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项目联系人：董鹏、朱雪芬</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电话：0512-63000883</w:t>
      </w:r>
      <w:r/>
    </w:p>
    <w:p>
      <w:pPr>
        <w:ind w:firstLine="420"/>
        <w:jc w:val="left"/>
        <w:spacing w:line="440" w:lineRule="exact"/>
        <w:rPr>
          <w:rFonts w:hint="eastAsia" w:ascii="宋体" w:hAnsi="宋体" w:cs="宋体"/>
          <w:color w:val="auto"/>
          <w:highlight w:val="none"/>
        </w:rPr>
      </w:pPr>
      <w:r>
        <w:rPr>
          <w:rFonts w:hint="eastAsia" w:ascii="宋体" w:hAnsi="宋体" w:cs="宋体"/>
          <w:color w:val="auto"/>
          <w:szCs w:val="21"/>
          <w:highlight w:val="none"/>
        </w:rPr>
        <w:t xml:space="preserve">备注：本次采购的有关信息将在江苏省政府采购网、苏州政府采购网、中国政府采购网等媒体上发布，敬请留意，请各单位获取本次磋商采购文件后，认真阅读各项内容，进行必要准备工作，按文件的要求详细填写和编制响应文件，并按以上确定的时间、地点准时参加磋商。</w:t>
      </w:r>
      <w:r/>
    </w:p>
    <w:p>
      <w:pPr>
        <w:ind w:firstLine="420"/>
        <w:jc w:val="center"/>
        <w:spacing w:after="210" w:line="36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bookmarkStart w:id="16" w:name="_Toc7179"/>
      <w:r/>
      <w:bookmarkStart w:id="17" w:name="_Toc25272"/>
      <w:r/>
      <w:bookmarkStart w:id="18" w:name="_Toc6289"/>
      <w:r/>
      <w:bookmarkStart w:id="19" w:name="_Toc19638"/>
      <w:r/>
      <w:bookmarkStart w:id="20" w:name="_Toc264"/>
      <w:r/>
      <w:bookmarkStart w:id="21" w:name="_Toc11937"/>
      <w:r/>
      <w:bookmarkStart w:id="22" w:name="_Toc18157"/>
      <w:r/>
      <w:bookmarkStart w:id="23" w:name="_Toc23541"/>
      <w:r>
        <w:rPr>
          <w:rStyle w:val="1109"/>
          <w:rFonts w:hint="eastAsia" w:ascii="宋体" w:hAnsi="宋体" w:cs="宋体"/>
          <w:color w:val="auto"/>
          <w:highlight w:val="none"/>
        </w:rPr>
        <w:t xml:space="preserve">二、磋商供应商须知</w:t>
      </w:r>
      <w:bookmarkEnd w:id="16"/>
      <w:r/>
      <w:bookmarkEnd w:id="17"/>
      <w:r/>
      <w:bookmarkEnd w:id="18"/>
      <w:r/>
      <w:bookmarkEnd w:id="19"/>
      <w:r/>
      <w:bookmarkEnd w:id="20"/>
      <w:r/>
      <w:bookmarkEnd w:id="21"/>
      <w:r/>
      <w:bookmarkEnd w:id="22"/>
      <w:r/>
      <w:bookmarkEnd w:id="23"/>
      <w:r/>
      <w:r/>
    </w:p>
    <w:p>
      <w:pPr>
        <w:pStyle w:val="1106"/>
        <w:ind w:firstLine="422"/>
        <w:spacing w:line="440" w:lineRule="exact"/>
        <w:rPr>
          <w:rFonts w:hint="eastAsia" w:ascii="宋体" w:hAnsi="宋体" w:cs="宋体"/>
          <w:b/>
          <w:bCs/>
          <w:color w:val="auto"/>
          <w:szCs w:val="21"/>
          <w:highlight w:val="none"/>
          <w:lang w:val="en-US"/>
        </w:rPr>
      </w:pPr>
      <w:r/>
      <w:bookmarkStart w:id="24" w:name="_Toc29852"/>
      <w:r>
        <w:rPr>
          <w:rFonts w:hint="eastAsia" w:ascii="宋体" w:hAnsi="宋体" w:cs="宋体"/>
          <w:b/>
          <w:bCs/>
          <w:color w:val="auto"/>
          <w:szCs w:val="21"/>
          <w:highlight w:val="none"/>
          <w:lang w:val="en-US"/>
        </w:rPr>
        <w:t xml:space="preserve">1.采购政策</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1.4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1.5提供的产品属于政府强制采购节能产品的，供应商应当选择经过认证的节能产品投标，并提供有效的节能产品认证证书复印件。</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1.6提供的产品属于环境标志产品的,供应商应当选择经过认证的环境标志产品投标,并提供有效的环境标志产品认证证书复印件。</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1.7</w:t>
      </w:r>
      <w:r>
        <w:rPr>
          <w:rFonts w:hint="eastAsia" w:ascii="宋体" w:hAnsi="宋体" w:cs="宋体"/>
          <w:color w:val="auto"/>
          <w:szCs w:val="21"/>
          <w:highlight w:val="none"/>
        </w:rPr>
        <w:t xml:space="preserve">如采购货物涉及协议供货相关产品的，执行协议供货相关政策。</w:t>
      </w:r>
      <w:r/>
    </w:p>
    <w:p>
      <w:pPr>
        <w:ind w:firstLine="422"/>
        <w:spacing w:line="440" w:lineRule="exact"/>
        <w:rPr>
          <w:rFonts w:hint="eastAsia" w:ascii="宋体" w:hAnsi="宋体" w:cs="宋体"/>
          <w:bCs/>
          <w:color w:val="auto"/>
          <w:szCs w:val="21"/>
          <w:highlight w:val="none"/>
        </w:rPr>
      </w:pPr>
      <w:r>
        <w:rPr>
          <w:rFonts w:hint="eastAsia" w:ascii="宋体" w:hAnsi="宋体" w:cs="宋体"/>
          <w:b/>
          <w:color w:val="auto"/>
          <w:szCs w:val="21"/>
          <w:highlight w:val="none"/>
        </w:rPr>
        <w:t xml:space="preserve">2.★联合体响应：不接受。</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2.1.两个以上的自然人、法人或者其他组织可以组成一个联合体，以一个供应商的身份共同参加政府采购。</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2.2.鼓励大中型企业和其他自然人、法人或者其他组织与小型、微型企业组成联合体共同参加非专门面向中小企业的政府采购活动。</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2.2.以联合体形式参加</w:t>
      </w:r>
      <w:r>
        <w:rPr>
          <w:rFonts w:hint="eastAsia" w:ascii="宋体" w:hAnsi="宋体" w:cs="宋体"/>
          <w:color w:val="auto"/>
          <w:szCs w:val="21"/>
          <w:highlight w:val="none"/>
          <w:lang w:val="en-US"/>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2.4.联合体各方之间应当签订联合体协议，明确约定联合体各方承担的工作和相应的责任，并将联合体协议连同响应文件一并提交。</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2.5.以联合体形式参加政府采购活动的，联合体各方不得再单独参加或者与其他供应商另外组成联合体参加同一合同项下的政府采购活动。</w:t>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440" w:lineRule="exact"/>
        <w:rPr>
          <w:rFonts w:hint="eastAsia" w:ascii="宋体" w:hAnsi="宋体" w:cs="宋体"/>
          <w:bCs/>
          <w:color w:val="auto"/>
          <w:szCs w:val="21"/>
          <w:highlight w:val="none"/>
        </w:rPr>
      </w:pPr>
      <w:r>
        <w:rPr>
          <w:rFonts w:hint="eastAsia" w:ascii="宋体" w:hAnsi="宋体" w:cs="宋体"/>
          <w:b/>
          <w:bCs/>
          <w:color w:val="auto"/>
          <w:szCs w:val="21"/>
          <w:highlight w:val="none"/>
        </w:rPr>
        <w:t xml:space="preserve">3.★转包与分包与</w:t>
      </w:r>
      <w:r>
        <w:rPr>
          <w:rFonts w:hint="eastAsia" w:ascii="宋体" w:hAnsi="宋体" w:cs="宋体"/>
          <w:b/>
          <w:color w:val="auto"/>
          <w:szCs w:val="21"/>
          <w:highlight w:val="none"/>
        </w:rPr>
        <w:t xml:space="preserve">磋商费用</w:t>
      </w:r>
      <w:r/>
    </w:p>
    <w:p>
      <w:pPr>
        <w:pStyle w:val="1110"/>
        <w:spacing w:line="440" w:lineRule="exact"/>
        <w:rPr>
          <w:rFonts w:hint="eastAsia" w:ascii="宋体" w:hAnsi="宋体" w:cs="宋体"/>
          <w:color w:val="auto"/>
          <w:highlight w:val="none"/>
        </w:rPr>
      </w:pPr>
      <w:r>
        <w:rPr>
          <w:rFonts w:hint="eastAsia" w:ascii="宋体" w:hAnsi="宋体" w:cs="宋体"/>
          <w:color w:val="auto"/>
          <w:highlight w:val="none"/>
        </w:rPr>
        <w:t xml:space="preserve">3.1.本项目不允许转包或分包。</w:t>
      </w:r>
      <w:r/>
    </w:p>
    <w:p>
      <w:pPr>
        <w:pStyle w:val="1111"/>
        <w:jc w:val="both"/>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3.2.无论磋商过程中的做法和结果如何，磋商供应商自行承担所有与参加磋商有关的全部费用。</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4.磋商文件</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4.1.磋商文件的内容如下：</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第一章 磋商邀请书</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第二章 磋商供应商须知</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第三章 采购需求</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第四章 评标办法及评分标准</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第五章 合同主要条款</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第六章 响应文件格式</w:t>
      </w:r>
      <w:r/>
    </w:p>
    <w:p>
      <w:pPr>
        <w:pStyle w:val="1111"/>
        <w:jc w:val="both"/>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5.磋商文件的澄清和修改</w:t>
      </w:r>
      <w:r/>
    </w:p>
    <w:p>
      <w:pPr>
        <w:pStyle w:val="1111"/>
        <w:jc w:val="both"/>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111"/>
        <w:jc w:val="both"/>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5.2.磋商文件的澄清、修改等内容与竞争性磋商文件在同一内容的表述上不一致时，以发出日期最接近磋商时间的公告为准。</w:t>
      </w:r>
      <w:r/>
    </w:p>
    <w:p>
      <w:pPr>
        <w:pStyle w:val="1111"/>
        <w:jc w:val="both"/>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5.3.磋商文件的澄清、修改等内容均将在财政部门指定的政府采购信息发布媒体上发布，作为磋商文件的组成部分，对供应商起约束作用。</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6.★响应文件计量单位和使用文字</w:t>
      </w:r>
      <w:r/>
    </w:p>
    <w:p>
      <w:pPr>
        <w:pStyle w:val="1111"/>
        <w:jc w:val="both"/>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6.1.响应文件中所使用的计量单位，除竞争性磋商文件中有特殊要求外，均应使用中华人民共和国法定计量单位。</w:t>
      </w:r>
      <w:r/>
    </w:p>
    <w:p>
      <w:pPr>
        <w:pStyle w:val="1111"/>
        <w:jc w:val="both"/>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7.响应文件的组成及要求</w:t>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7.1封面</w:t>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7.2开标一览表（磋商报价表）</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7.2.1磋商报价分析表</w:t>
      </w:r>
      <w:r/>
    </w:p>
    <w:p>
      <w:pPr>
        <w:pStyle w:val="1111"/>
        <w:ind w:firstLine="422"/>
        <w:spacing w:line="440" w:lineRule="exact"/>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7.3资格审查响应文件</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7.3.1具有独立承担民事责任的能力证明。（提供营业执照或事业单位法人证等法人证明材料（加盖公章））；</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7.3.2具有良好的商业信誉和健全的财务会计制度证明（提供参加本次采购活动前的最近一期的年度会计报表或审计报告，其他组织、自然人及成立未满一年的法人应提供银行出具的资信证明（加盖公章））；</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7.3.3有依法缴纳税收和社会保障资金的良好记录（提供参加本次政府采购活动前依法缴纳税收和社会保障资金的相关材料。响应单位如依法享受缓缴、免缴税收、社会保障资金的应提供相关主管部门出具的证明材料）；</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7.3.4</w:t>
      </w:r>
      <w:r>
        <w:rPr>
          <w:rFonts w:hint="eastAsia" w:ascii="宋体" w:hAnsi="宋体" w:cs="宋体"/>
          <w:color w:val="auto"/>
          <w:sz w:val="21"/>
          <w:szCs w:val="21"/>
          <w:highlight w:val="none"/>
        </w:rPr>
        <w:t xml:space="preserve">具有</w:t>
      </w:r>
      <w:r>
        <w:rPr>
          <w:rFonts w:hint="eastAsia" w:ascii="宋体" w:hAnsi="宋体" w:cs="宋体"/>
          <w:bCs/>
          <w:color w:val="auto"/>
          <w:sz w:val="21"/>
          <w:szCs w:val="21"/>
          <w:highlight w:val="none"/>
        </w:rPr>
        <w:t xml:space="preserve">履行合同所必需的设备和专业技术能力的证明材料或承诺；</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7.3.5参加政府采购活动前三年内在经营活动中没有重大违法记录的书面声明函；</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7.3.6法律、行政法规规定的其他条件；</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7.3.7 </w:t>
      </w:r>
      <w:bookmarkStart w:id="25" w:name="OLE_LINK11"/>
      <w:r>
        <w:rPr>
          <w:rFonts w:hint="eastAsia" w:ascii="宋体" w:hAnsi="宋体" w:cs="宋体"/>
          <w:bCs/>
          <w:color w:val="auto"/>
          <w:sz w:val="21"/>
          <w:szCs w:val="21"/>
          <w:highlight w:val="none"/>
        </w:rPr>
        <w:t xml:space="preserve">落实政府采购政策需满足的资格要求：本项目非专门面向中小企业。根据《政府采购促进中小企业发展管理办法》（财库〔2020〕46号）及《中小企业划型标准规定》（工信部联企业〔2011〕300号），本采购标的对应的中小企业划分标准所属行业为：其他未列明行业。</w:t>
      </w:r>
      <w:bookmarkEnd w:id="25"/>
      <w:r/>
      <w:r/>
    </w:p>
    <w:p>
      <w:pPr>
        <w:pStyle w:val="1111"/>
        <w:ind w:firstLine="422"/>
        <w:spacing w:line="440" w:lineRule="exact"/>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7.4符合性审查响应文件</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7.4.1</w:t>
      </w:r>
      <w:r>
        <w:rPr>
          <w:rFonts w:hint="eastAsia" w:ascii="宋体" w:hAnsi="宋体" w:cs="宋体"/>
          <w:color w:val="auto"/>
          <w:sz w:val="21"/>
          <w:szCs w:val="21"/>
          <w:highlight w:val="none"/>
        </w:rPr>
        <w:t xml:space="preserve">磋商响应函（</w:t>
      </w:r>
      <w:r>
        <w:rPr>
          <w:rFonts w:hint="eastAsia" w:ascii="宋体" w:hAnsi="宋体" w:cs="宋体"/>
          <w:bCs/>
          <w:color w:val="auto"/>
          <w:sz w:val="21"/>
          <w:szCs w:val="21"/>
          <w:highlight w:val="none"/>
        </w:rPr>
        <w:t xml:space="preserve">格式见第六章）；</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7.4.2法定代表人身份证；</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7.4.3法人授权委托书及委托代理人身份证复印件（如有授权）（格式见第六章）；</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7.4.4关于资格文件的声明函（格式见第六章）；</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7.4.5响应单位基本情况表（格式见第六章）；</w:t>
      </w:r>
      <w:r/>
    </w:p>
    <w:p>
      <w:pPr>
        <w:pStyle w:val="1111"/>
        <w:spacing w:line="44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4.6偏离表</w:t>
      </w:r>
      <w:r>
        <w:rPr>
          <w:rFonts w:hint="eastAsia" w:ascii="宋体" w:hAnsi="宋体" w:cs="宋体"/>
          <w:bCs/>
          <w:color w:val="auto"/>
          <w:sz w:val="21"/>
          <w:szCs w:val="21"/>
          <w:highlight w:val="none"/>
        </w:rPr>
        <w:t xml:space="preserve">（格式见第六章）</w:t>
      </w:r>
      <w:r>
        <w:rPr>
          <w:rFonts w:hint="eastAsia" w:ascii="宋体" w:hAnsi="宋体" w:cs="宋体"/>
          <w:color w:val="auto"/>
          <w:sz w:val="21"/>
          <w:szCs w:val="21"/>
          <w:highlight w:val="none"/>
        </w:rPr>
        <w:t xml:space="preserve">；</w:t>
      </w:r>
      <w:r/>
    </w:p>
    <w:p>
      <w:pPr>
        <w:pStyle w:val="1111"/>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7.4.7</w:t>
      </w:r>
      <w:bookmarkStart w:id="26" w:name="OLE_LINK12"/>
      <w:r>
        <w:rPr>
          <w:rFonts w:hint="eastAsia" w:ascii="宋体" w:hAnsi="宋体" w:cs="宋体"/>
          <w:color w:val="auto"/>
          <w:sz w:val="21"/>
          <w:szCs w:val="21"/>
          <w:highlight w:val="none"/>
          <w:lang w:val="en-US" w:eastAsia="zh-CN"/>
        </w:rPr>
        <w:t xml:space="preserve"> 实质性条款（承诺函）</w:t>
      </w:r>
      <w:bookmarkEnd w:id="26"/>
      <w:r>
        <w:rPr>
          <w:rFonts w:hint="eastAsia" w:ascii="宋体" w:hAnsi="宋体" w:cs="宋体"/>
          <w:color w:val="auto"/>
          <w:sz w:val="21"/>
          <w:szCs w:val="21"/>
          <w:highlight w:val="none"/>
          <w:lang w:val="en-US" w:eastAsia="zh-CN"/>
        </w:rPr>
        <w:t xml:space="preserve">；</w:t>
      </w:r>
      <w:r/>
    </w:p>
    <w:p>
      <w:pPr>
        <w:pStyle w:val="1111"/>
        <w:spacing w:line="44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其他有关符合性证明的文件（投标（响应）保证承诺书等）；</w:t>
      </w:r>
      <w:r/>
    </w:p>
    <w:p>
      <w:pPr>
        <w:pStyle w:val="1111"/>
        <w:ind w:firstLine="422"/>
        <w:spacing w:line="440" w:lineRule="exact"/>
        <w:rPr>
          <w:rFonts w:hint="eastAsia" w:ascii="宋体" w:hAnsi="宋体" w:cs="宋体"/>
          <w:color w:val="auto"/>
          <w:sz w:val="21"/>
          <w:szCs w:val="21"/>
          <w:highlight w:val="none"/>
          <w:u w:val="single"/>
        </w:rPr>
      </w:pPr>
      <w:r>
        <w:rPr>
          <w:rFonts w:hint="eastAsia" w:ascii="宋体" w:hAnsi="宋体" w:cs="宋体"/>
          <w:b/>
          <w:color w:val="auto"/>
          <w:sz w:val="21"/>
          <w:szCs w:val="21"/>
          <w:highlight w:val="none"/>
          <w:u w:val="single"/>
        </w:rPr>
        <w:t xml:space="preserve">7.5综合评审响应文件</w:t>
      </w:r>
      <w:r/>
    </w:p>
    <w:p>
      <w:pPr>
        <w:ind w:firstLine="420"/>
        <w:spacing w:line="44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.1管理技术及综合方案</w:t>
      </w:r>
      <w:r/>
    </w:p>
    <w:p>
      <w:pPr>
        <w:ind w:firstLine="420"/>
        <w:spacing w:line="44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2响应单位针对本项目服务人员的配备比较</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7.5.3企业综合实力评价</w:t>
      </w:r>
      <w:r/>
    </w:p>
    <w:p>
      <w:pPr>
        <w:ind w:firstLine="420"/>
        <w:spacing w:line="44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7.5.4</w:t>
      </w:r>
      <w:r>
        <w:rPr>
          <w:rFonts w:hint="eastAsia" w:ascii="宋体" w:hAnsi="宋体" w:cs="宋体"/>
          <w:color w:val="auto"/>
          <w:szCs w:val="21"/>
          <w:highlight w:val="none"/>
          <w:lang w:val="en-US"/>
        </w:rPr>
        <w:t xml:space="preserve">类似业绩比较</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7.5</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其他可以证明投标人资质、服务质量的证书、文件等相关资料。</w:t>
      </w:r>
      <w:r/>
    </w:p>
    <w:p>
      <w:pPr>
        <w:pStyle w:val="1111"/>
        <w:ind w:firstLine="422"/>
        <w:spacing w:line="440" w:lineRule="exact"/>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7.6价格折扣响应文件</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7.6.1</w:t>
      </w:r>
      <w:r>
        <w:rPr>
          <w:rFonts w:hint="eastAsia" w:ascii="宋体" w:hAnsi="宋体" w:cs="宋体"/>
          <w:color w:val="auto"/>
          <w:szCs w:val="21"/>
          <w:highlight w:val="none"/>
          <w:lang w:val="zh-CN"/>
        </w:rPr>
        <w:t xml:space="preserve">中小企业声明函/残疾人福利性单位声明函/监狱企业的证明文件。</w:t>
      </w:r>
      <w:r/>
    </w:p>
    <w:p>
      <w:pPr>
        <w:pStyle w:val="1111"/>
        <w:ind w:firstLine="422"/>
        <w:spacing w:line="440" w:lineRule="exact"/>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注：</w:t>
      </w:r>
      <w:r>
        <w:rPr>
          <w:rFonts w:hint="eastAsia" w:ascii="宋体" w:hAnsi="宋体" w:cs="宋体"/>
          <w:b/>
          <w:bCs/>
          <w:color w:val="auto"/>
          <w:sz w:val="21"/>
          <w:szCs w:val="21"/>
          <w:highlight w:val="none"/>
        </w:rPr>
        <w:t xml:space="preserve">（1）以上7.3.1-7.3.7为资格审查要求提供的材料，是作为对供应商资格审查、质疑身份认定的依据，响应供应商必须提供并加盖电子公章。否则，磋商响应文件将被认定为不符合资格审查要求。</w:t>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（2）以上7.4.1-7.4.</w:t>
      </w:r>
      <w:r>
        <w:rPr>
          <w:rFonts w:hint="eastAsia" w:ascii="宋体" w:hAnsi="宋体" w:cs="宋体"/>
          <w:b/>
          <w:color w:val="auto"/>
          <w:sz w:val="21"/>
          <w:szCs w:val="21"/>
          <w:highlight w:val="none"/>
          <w:lang w:val="en-US" w:eastAsia="zh-CN"/>
        </w:rPr>
        <w:t xml:space="preserve">8</w:t>
      </w:r>
      <w:r>
        <w:rPr>
          <w:rFonts w:hint="eastAsia" w:ascii="宋体" w:hAnsi="宋体" w:cs="宋体"/>
          <w:b/>
          <w:color w:val="auto"/>
          <w:sz w:val="21"/>
          <w:szCs w:val="21"/>
          <w:highlight w:val="none"/>
        </w:rPr>
        <w:t xml:space="preserve">为符合性审查须提供的资料，响应供应商必须提供并加盖电子公章。否则，磋商响应文件将被认定为未实质性响应。</w:t>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（3)制作电子响应文件时必须与投标文件制作软件目录一一对应，将相关资料上传至相应模块。</w:t>
      </w:r>
      <w:r/>
    </w:p>
    <w:p>
      <w:pPr>
        <w:pStyle w:val="1111"/>
        <w:ind w:firstLine="422"/>
        <w:spacing w:line="440" w:lineRule="exact"/>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（4）磋商响应文件编制要求：</w:t>
      </w:r>
      <w:r>
        <w:rPr>
          <w:rFonts w:hint="eastAsia" w:ascii="宋体" w:hAnsi="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b/>
          <w:color w:val="auto"/>
          <w:sz w:val="21"/>
          <w:szCs w:val="21"/>
          <w:highlight w:val="none"/>
        </w:rPr>
        <w:t xml:space="preserve">注：具体投标文件编制教程查看苏采云系统中的客户端使用说明和供应商《操作手册》。</w:t>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（5）磋商过程中如有问题采购代理机构工作人员会及时通知《投标供应商确认函》留存的手机号与供应商联系。请供应商确保该手机号磋商当日通讯畅通，否则导致的对供应商不利的后果由供应商自行承担。</w:t>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8.响应文件的解密与评审</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8.1采购代理机构按本须知规定的时间、地点主持磋商采购活动。</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8.2供应商通过“苏采云”系统在线参与磋商活动。供应商应当按照《苏采云系统供应商操作手册》规定在 “苏采云”系统规定的时间内对响应文件进行解密。</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8.3在磋商响应文件网上递交截止时间止成功解密的磋商供应商少于三家，则本次采购失败。</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8.4由磋商小组审查供应商解密的响应文件。</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磋商小组并非对每个供应商都作澄清要求。</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8.6磋商小组要求供应商澄清、说明或者更正响应文件应当以书面形式做出。供应商的澄清、说明或者更正应当由其单位加盖电子公章。</w:t>
      </w:r>
      <w:r/>
    </w:p>
    <w:p>
      <w:pPr>
        <w:pStyle w:val="1111"/>
        <w:ind w:firstLine="422"/>
        <w:spacing w:line="440" w:lineRule="exact"/>
        <w:rPr>
          <w:rFonts w:hint="eastAsia" w:ascii="宋体" w:hAnsi="宋体" w:cs="宋体"/>
          <w:bCs/>
          <w:color w:val="auto"/>
          <w:sz w:val="21"/>
          <w:szCs w:val="21"/>
          <w:highlight w:val="none"/>
        </w:rPr>
      </w:pPr>
      <w:r>
        <w:rPr>
          <w:rFonts w:hint="eastAsia" w:ascii="宋体" w:hAnsi="宋体"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8.7对响应文件的审查</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8.7.1响应文件审查分为资格审查和符合性审查。</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8.7.1.1 资格审查：由磋商小组依据法律法规和磋商文件的规定，对响应文件中的资格证明文件进行审查，以确定供应商是否具备参加磋商的资格。</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磋商小组在进行资格审查的同时，将在“信用中国”网站（www.creditchina.gov.cn）查询供应商的信用记录，以确定供应商是否具备磋商资格，查询结果留存并归档。</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8.7.1.2 符合性审查：依据磋商文件的规定，由磋商小组从响应文件的有效性、完整性和对磋商文件的响应程度进行审查，以确定是否对磋商文件的实质性要求作出响应。</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8.7.1.3 未通过资格审查或符合性审查的供应商，磋商小组将在苏采云系统中告知未通过资格审查或符合性审查的原因，评审结束后，磋商小组将不再告知未通过资格审查或符合性审查的原因。</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8.7.2在详细评审之前，磋商小组将首先审查每份响应文件是否实质性响应了磋商文件的要求。实质性响应的响应文件应该是与磋商文件要求的条款、条件和规格相符，没有重大偏离或保留。</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 w:val="21"/>
          <w:szCs w:val="21"/>
          <w:highlight w:val="none"/>
        </w:rPr>
        <w:t xml:space="preserve">磋商小组通过“苏采云”系统向供应商发布“磋商函”，供应商应当按照要求在“苏采云”系统提交“磋商响应函”并加盖CA电子公章。</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1111"/>
        <w:ind w:firstLine="422"/>
        <w:spacing w:line="440" w:lineRule="exact"/>
        <w:rPr>
          <w:rFonts w:hint="eastAsia" w:ascii="宋体" w:hAnsi="宋体" w:cs="宋体"/>
          <w:bCs/>
          <w:color w:val="auto"/>
          <w:sz w:val="21"/>
          <w:szCs w:val="21"/>
          <w:highlight w:val="none"/>
        </w:rPr>
      </w:pPr>
      <w:r>
        <w:rPr>
          <w:rFonts w:hint="eastAsia" w:ascii="宋体" w:hAnsi="宋体" w:cs="宋体"/>
          <w:b/>
          <w:color w:val="auto"/>
          <w:sz w:val="21"/>
          <w:szCs w:val="21"/>
          <w:highlight w:val="none"/>
        </w:rPr>
        <w:t xml:space="preserve">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8.11经磋商确定最终采购需求和提交最后报价的供应商后，由磋商小组采用综合评分法对提交最后报价的供应商的响应文件和最后报价进行综合评分。</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8.12磋商小组根据磋商成交原则确定成交供应商，并将结果通知所有参加磋商的供应商。</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8.13评审过程的保密与公正</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8.13.1磋商小组、采购人和代理公司工作人员、相关监督人员等与评审工作有关的人员，对评审情况以及在评审过程中获悉的国家秘密、商业秘密负有保密责任。</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8.13.2在评审过程中，供应商不得以任何行为影响磋商评审过程，否则其响应文件将被作为无效响应文件。</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8.13.3在项目评审期间，代理公司将设专门人员与供应商联系。</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8.13.4 代理公司和磋商小组不向未成交的供应商解释未成交原因，也不公布评审过程中的相关细节。</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8.14如磋商过程中出现本采购文件未尽事宜，由磋商小组根据政府采购有关法律、法规讨论决定。</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w:t>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9.未实质性响应磋商文件的情形</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9.1供应商在苏采云系统规定的时间内未成功解密电子响应文件的。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9.2供应商未按照磋商文件要求上传电子响应文件的。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9.3同一供应商提交两个（含两个）以上不同的响应文件或者最后报价的。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9.4供应商不具备磋商文件中规定资格要求的。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9.5供应商的报价超过了采购预算或最高限价。</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9.6不符合磋商文件中规定的实质性要求和条件的。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9.8响应文件含有采购人不能接受的附加条件的。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9.10响应文件未按照磋商文件要求加盖CA电子公章或签署的。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9.11法律、法规和招标文件规定的其他无效情形。</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9.12未实质性响应磋商文件的响应文件按无效响应处理。</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注：</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①如果响应文件实质上没有响应磋商文件的要求，磋商小组将予以拒绝，供应商不得通过修改或撤销不合要求的偏离或保留而使其成为实质性响应的文件。</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②供应商在项目评审全过程中应保持通讯畅通，并安排专人与代理公司及磋商小组联系。</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w:t>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10.项目的终止</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10.1出现下列情形之一的，本次竞争性磋商采购活动将被终止：</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10.1.1因情况变化，不再符合规定的竞争性磋商采购方式适用情形的。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10.1.2出现影响采购公正的违法、违规行为的。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10.1.3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10.1.4在苏采云系统规定时间内成功解密电子响应文件的供应商不足3家的。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10.1.5供应商的报价均超过了采购预算，采购人不能支付的； </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10.1.6因重大变故，采购任务取消的。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10.2供应商应当遵循公平竞争的原则，不得恶意串通，不得妨碍其他供应商的竞争行为，不得损害采购人或者其他供应商的合法权益。</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10.3在评审过程中发现供应商有下述情形的，磋商小组应当认定其响应无效，并书面报告本级财政部门。</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10.4有下列情形之一的，视为供应商串通投标，其响应无效：</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10.4.1不同供应商的响应文件由同一单位或者个人编制；</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10.4.2不同供应商委托同一单位或者个人办理投标事宜；</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10.4.3不同供应商的响应文件载明的项目管理成员或者联系人员为同一人；</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10.4.4不同供应商的响应文件异常一致或者报价呈规律性差异；</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10.4.5不同供应商的响应文件相互混装；</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10.4.6不同投标（响应）文件制作机器码一致的；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w:t>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11.成交</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11.1确定成交单位</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11.1.1磋商小组根据磋商成交原则确定成交供应商，并将结果通知所有参加磋商的供应商。</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11.2若有充分证据证明，成交供应商出现下列情况之一的，一经查实，将被取消成交资格：</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11.2.1提供虚假材料谋取成交的。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11.2.2与评审专家、采购人、其他供应商或者代理公司工作人员恶意串通的。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11.2.3向评审专家、采购人或代理公司工作人员行贿或者提供其他不正当利益的。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11.2.4恶意竞争，最后报价明显低于其自身合理成本且又无法提供证明的。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11.2.5不满足本磋商文件规定的实质性要求，但在评审过程中又未被磋商小组发现的。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11.2.6成交后无正当理由拒不与采购人签订政府采购合同或者未按照磋商文件确定的事项签订政府采购合同的。</w:t>
      </w:r>
      <w:r/>
    </w:p>
    <w:p>
      <w:pPr>
        <w:pStyle w:val="111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11.2.7将政府采购合同转包的。</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12.质疑处理</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12.2本次采购文件要求供应商在法定质疑期内一次性提出针对同一采购程序环节的质疑，否则不予受理。</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12.3供应商提出质疑应当提交质疑函和必要的证明材料，质疑函应当包括下列内容：</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12.3.1供应商的姓名或者名称（以提供的营业执照副本复印件为准）、地址、邮编、联系人及联系电话；</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12.3.2质疑项目的名称、编号；</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12.3.3具体、明确的质疑事项和与质疑事项相关的请求；</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12.3.4事实依据；</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12.3.5必要的法律依据；</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12.3.6提出质疑的日期。</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auto"/>
          <w:sz w:val="21"/>
          <w:szCs w:val="21"/>
          <w:highlight w:val="none"/>
        </w:rPr>
        <w:t xml:space="preserve">授权委托书</w:t>
      </w:r>
      <w:r>
        <w:rPr>
          <w:rFonts w:hint="eastAsia" w:ascii="宋体" w:hAnsi="宋体" w:cs="宋体"/>
          <w:color w:val="auto"/>
          <w:sz w:val="21"/>
          <w:szCs w:val="21"/>
          <w:highlight w:val="none"/>
        </w:rPr>
        <w:t xml:space="preserve">上应当载明代理人的姓名或者名称、代理事项、具体权限、期限和相关事项。</w:t>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auto"/>
          <w:sz w:val="21"/>
          <w:szCs w:val="21"/>
          <w:highlight w:val="none"/>
        </w:rPr>
        <w:t xml:space="preserve">。</w:t>
      </w:r>
      <w:r/>
    </w:p>
    <w:p>
      <w:pPr>
        <w:pStyle w:val="1111"/>
        <w:spacing w:line="440" w:lineRule="exact"/>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12.4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auto"/>
          <w:sz w:val="21"/>
          <w:szCs w:val="21"/>
          <w:highlight w:val="none"/>
        </w:rPr>
        <w:t xml:space="preserve">《投标供应商确认函》</w:t>
      </w:r>
      <w:r>
        <w:rPr>
          <w:rFonts w:hint="eastAsia" w:ascii="宋体" w:hAnsi="宋体" w:cs="宋体"/>
          <w:color w:val="auto"/>
          <w:sz w:val="21"/>
          <w:szCs w:val="21"/>
          <w:highlight w:val="none"/>
        </w:rPr>
        <w:t xml:space="preserve">）与质疑函一起递交，否则不予受理。</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12.5接收质疑函的方式：书面形式（当场送达或邮寄方式）</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en-US"/>
        </w:rPr>
        <w:t xml:space="preserve">苏州通宜房地产土地评估咨询有限公司</w:t>
      </w:r>
      <w:r/>
    </w:p>
    <w:p>
      <w:pPr>
        <w:pStyle w:val="1106"/>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地址:吴江区松陵镇鲈乡南路鲈乡园别墅区103幢</w:t>
      </w:r>
      <w:r/>
    </w:p>
    <w:p>
      <w:pPr>
        <w:pStyle w:val="1106"/>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联系人：董鹏、朱雪芬  </w:t>
      </w:r>
      <w:r/>
    </w:p>
    <w:p>
      <w:pPr>
        <w:pStyle w:val="1106"/>
        <w:ind w:firstLine="4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rPr>
        <w:t xml:space="preserve">0512-</w:t>
      </w:r>
      <w:r>
        <w:rPr>
          <w:rFonts w:hint="eastAsia" w:ascii="宋体" w:hAnsi="宋体" w:cs="宋体"/>
          <w:color w:val="auto"/>
          <w:szCs w:val="21"/>
          <w:highlight w:val="none"/>
        </w:rPr>
        <w:t xml:space="preserve">63000883</w:t>
      </w:r>
      <w:r>
        <w:rPr>
          <w:rFonts w:hint="eastAsia" w:ascii="宋体" w:hAnsi="宋体" w:cs="宋体"/>
          <w:color w:val="auto"/>
          <w:szCs w:val="21"/>
          <w:highlight w:val="none"/>
          <w:lang w:val="en-US"/>
        </w:rPr>
        <w:t xml:space="preserve"> </w:t>
      </w:r>
      <w:r/>
    </w:p>
    <w:p>
      <w:pPr>
        <w:pStyle w:val="1106"/>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提交方式：书面形式原件（邮寄或当面递交）</w:t>
      </w:r>
      <w:r/>
    </w:p>
    <w:p>
      <w:pPr>
        <w:pStyle w:val="1111"/>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1111"/>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13.响应无效和终止磋商活动条款</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13.1响应人存在下列情况之一的，响应无效:</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13.1.1未按照竞争性磋商文件规定要求签署、盖章的；</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13.1.2供应商不具备竞争性磋商文件中规定资格条件的；</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13.1.3报价超过磋商文件中规定的预算金额或者最高限价的；</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13.1.4响应文件含有采购人不能接受的附加条件；</w:t>
      </w:r>
      <w:r/>
    </w:p>
    <w:p>
      <w:pPr>
        <w:pStyle w:val="1112"/>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13.1.5因磋商响应单位自身原因导致网上磋商响应文件无法递交的其他情况；</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13.1.6不符合法律、法规和竞争性磋商文件中规定的其他实质性要求的；</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13.1.7法律、法规及本竞争性磋商文件规定的其他无效的情形。</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13.2响应人应当遵循公平竞争的原则，不得恶意串通，不得妨碍其他响应人的竞争行为，不得损害采购人或者其他响应人的合法权益。</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磋商在过程中发现响应人有上述情形的，磋商小组应当认定其响应无效，并书面报告本级财政部门。</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13.3有下列情形之一的，视为响应人恶意串通，其响应无效：</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13.3.1不同响应人的响应文件由同一单位或者个人编制；</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13.3.2不同响应人委托同一单位或者个人办理磋商事宜；</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13.3.3不同响应人的响应文件载明的项目管理成员或者联系人员为同一人；</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13.3.4不同响应人的响应文件异常一致或者报价呈规律性差异；</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13.3.5不同响应人的响应文件相互混装；</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13.3.6不同投标（响应）文件制作机器码一致的；</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13.4终止竞争性磋商采购活动的条款</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出现下列情形之一的，采购代理机构将终止竞争性磋商采购活动，发布项目终止公告并说明原因，重新开展采购活动：</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13.4.1因情况变化，不再符合规定的竞争性磋商采购方式适用情形的；</w:t>
      </w:r>
      <w:r/>
    </w:p>
    <w:p>
      <w:pPr>
        <w:pStyle w:val="1111"/>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13.4.2出现影响采购公正的违法、违规行为的；</w:t>
      </w:r>
      <w:r/>
    </w:p>
    <w:p>
      <w:pPr>
        <w:pStyle w:val="1111"/>
        <w:jc w:val="both"/>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13.4.3在采购过程中符合要求的供应商或者报价未超过采购预算的供应商不足3家的。</w:t>
      </w:r>
      <w:r/>
    </w:p>
    <w:p>
      <w:pPr>
        <w:ind w:firstLine="422"/>
        <w:spacing w:line="440" w:lineRule="exact"/>
        <w:tabs>
          <w:tab w:val="left" w:pos="42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14.政府采购政策</w:t>
      </w:r>
      <w:r/>
    </w:p>
    <w:p>
      <w:pPr>
        <w:ind w:firstLine="420"/>
        <w:spacing w:line="44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14.1小、微企业</w:t>
      </w:r>
      <w:r/>
    </w:p>
    <w:p>
      <w:pPr>
        <w:ind w:firstLine="420"/>
        <w:spacing w:line="440" w:lineRule="exact"/>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4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14.2残疾人福利性单位</w:t>
      </w:r>
      <w:r/>
    </w:p>
    <w:p>
      <w:pPr>
        <w:ind w:firstLine="420"/>
        <w:spacing w:line="44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4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14.3监狱企业</w:t>
      </w:r>
      <w:r/>
    </w:p>
    <w:p>
      <w:pPr>
        <w:ind w:firstLine="420"/>
        <w:spacing w:line="44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4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14.4绿色采购</w:t>
      </w:r>
      <w:r/>
    </w:p>
    <w:p>
      <w:pPr>
        <w:ind w:firstLine="420"/>
        <w:spacing w:line="44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14.4.1根据《关于调整优化节能产品、环境标志产品政府采购执行机制的通知》（财库〔2019〕9号）等相关文件的规定，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40" w:lineRule="exact"/>
        <w:tabs>
          <w:tab w:val="left" w:pos="567" w:leader="none"/>
        </w:tabs>
        <w:rPr>
          <w:rFonts w:hint="eastAsia" w:ascii="宋体" w:hAnsi="宋体" w:cs="宋体"/>
          <w:color w:val="auto"/>
          <w:highlight w:val="none"/>
        </w:rPr>
      </w:pPr>
      <w:r>
        <w:rPr>
          <w:rFonts w:hint="eastAsia" w:ascii="宋体" w:hAnsi="宋体" w:cs="宋体"/>
          <w:color w:val="auto"/>
          <w:szCs w:val="21"/>
          <w:highlight w:val="none"/>
        </w:rPr>
        <w:t xml:space="preserve">14.4.2</w:t>
      </w:r>
      <w:r>
        <w:rPr>
          <w:rFonts w:hint="eastAsia" w:ascii="宋体" w:hAnsi="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40" w:lineRule="exact"/>
        <w:tabs>
          <w:tab w:val="left" w:pos="567" w:leader="none"/>
        </w:tabs>
        <w:rPr>
          <w:rFonts w:hint="eastAsia" w:ascii="宋体" w:hAnsi="宋体" w:cs="宋体"/>
          <w:color w:val="auto"/>
          <w:highlight w:val="none"/>
        </w:rPr>
      </w:pPr>
      <w:r>
        <w:rPr>
          <w:rFonts w:hint="eastAsia" w:ascii="宋体" w:hAnsi="宋体" w:cs="宋体"/>
          <w:color w:val="auto"/>
          <w:szCs w:val="21"/>
          <w:highlight w:val="none"/>
        </w:rPr>
        <w:t xml:space="preserve">14.4.3</w:t>
      </w:r>
      <w:r>
        <w:rPr>
          <w:rFonts w:hint="eastAsia" w:ascii="宋体" w:hAnsi="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440" w:lineRule="exact"/>
        <w:tabs>
          <w:tab w:val="left" w:pos="42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440" w:lineRule="exact"/>
        <w:tabs>
          <w:tab w:val="left" w:pos="42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15.关于对参与供应商信用记录的政府采购要求</w:t>
      </w:r>
      <w:r/>
    </w:p>
    <w:p>
      <w:pPr>
        <w:ind w:firstLine="420"/>
        <w:spacing w:line="440" w:lineRule="exac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15.1采购代理机构会在接收响应文件截止时间后，实时查询“信用中国”相关主体信用记录，并将查询结果递交评审小组并留档。</w:t>
      </w:r>
      <w:r/>
    </w:p>
    <w:p>
      <w:pPr>
        <w:ind w:firstLine="420"/>
        <w:spacing w:line="44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44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440" w:lineRule="exact"/>
        <w:tabs>
          <w:tab w:val="left" w:pos="567" w:leader="none"/>
        </w:tabs>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15.2.1</w:t>
      </w:r>
      <w:r>
        <w:rPr>
          <w:rFonts w:hint="eastAsia" w:ascii="宋体" w:hAnsi="宋体" w:cs="宋体"/>
          <w:color w:val="auto"/>
          <w:szCs w:val="21"/>
          <w:highlight w:val="none"/>
          <w:lang w:val="zh-TW" w:eastAsia="zh-TW"/>
        </w:rPr>
        <w:t xml:space="preserve">政府采购严重违法记录，即供应商被全国各级财政部门列入“政府采购严重违法失信行为记录名单”，且在处罚有效期内的。</w:t>
      </w:r>
      <w:r/>
    </w:p>
    <w:p>
      <w:pPr>
        <w:ind w:firstLine="420"/>
        <w:spacing w:line="440" w:lineRule="exact"/>
        <w:tabs>
          <w:tab w:val="left" w:pos="567" w:leader="none"/>
        </w:tabs>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15.2.2</w:t>
      </w:r>
      <w:r>
        <w:rPr>
          <w:rFonts w:hint="eastAsia" w:ascii="宋体" w:hAnsi="宋体" w:cs="宋体"/>
          <w:color w:val="auto"/>
          <w:szCs w:val="21"/>
          <w:highlight w:val="none"/>
          <w:lang w:val="zh-TW" w:eastAsia="zh-TW"/>
        </w:rPr>
        <w:t xml:space="preserve">财政部门与法院、工商、税务等部门联合惩戒的失信信息，包括：</w:t>
      </w:r>
      <w:r/>
    </w:p>
    <w:p>
      <w:pPr>
        <w:ind w:firstLine="420"/>
        <w:spacing w:line="440" w:lineRule="exact"/>
        <w:tabs>
          <w:tab w:val="left" w:pos="567" w:leader="none"/>
        </w:tabs>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被列入失信被执行人名单；</w:t>
      </w:r>
      <w:r/>
    </w:p>
    <w:p>
      <w:pPr>
        <w:ind w:firstLine="420"/>
        <w:spacing w:line="440" w:lineRule="exact"/>
        <w:tabs>
          <w:tab w:val="left" w:pos="567" w:leader="none"/>
        </w:tabs>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eastAsia="zh-TW"/>
        </w:rPr>
        <w:t xml:space="preserve">被列入重大税收违法案件当事人名单；</w:t>
      </w:r>
      <w:r/>
    </w:p>
    <w:p>
      <w:pPr>
        <w:ind w:firstLine="420"/>
        <w:spacing w:line="440" w:lineRule="exact"/>
        <w:tabs>
          <w:tab w:val="left" w:pos="567" w:leader="none"/>
        </w:tabs>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auto"/>
          <w:szCs w:val="21"/>
          <w:highlight w:val="none"/>
          <w:lang w:val="zh-TW" w:eastAsia="zh-TW"/>
        </w:rPr>
        <w:t xml:space="preserve">。</w:t>
      </w:r>
      <w:r/>
    </w:p>
    <w:p>
      <w:pPr>
        <w:ind w:firstLine="420"/>
        <w:spacing w:line="44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15.3供应商若在经营活动中受到罚款的，请携带相关地方、部门对较大数额认定标准的证明材料，与响应文件一并提交。若无法提供，则可能承担响应无效等相应不利后果。</w:t>
      </w:r>
      <w:r/>
    </w:p>
    <w:p>
      <w:pPr>
        <w:ind w:firstLine="420"/>
        <w:spacing w:line="440" w:lineRule="exac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15.4对存在失信信息的供应商，由失信供应商进行确认。同时，采购代理机构工作人员应根据评审小组确认的失信信息，登陆到相关来源网站页面进行复核并打印，作为证据留存。</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16.合同的签订</w:t>
      </w:r>
      <w:r/>
    </w:p>
    <w:p>
      <w:pPr>
        <w:pStyle w:val="1113"/>
        <w:ind w:firstLine="420"/>
        <w:jc w:val="both"/>
        <w:spacing w:before="0" w:beforeAutospacing="0" w:after="0" w:afterAutospacing="0" w:line="440" w:lineRule="exact"/>
        <w:widowControl w:val="off"/>
        <w:rPr>
          <w:rFonts w:hint="eastAsia"/>
          <w:color w:val="auto"/>
          <w:sz w:val="21"/>
          <w:szCs w:val="21"/>
          <w:highlight w:val="none"/>
        </w:rPr>
      </w:pPr>
      <w:r>
        <w:rPr>
          <w:rFonts w:hint="eastAsia"/>
          <w:color w:val="auto"/>
          <w:sz w:val="21"/>
          <w:szCs w:val="21"/>
          <w:highlight w:val="none"/>
        </w:rPr>
        <w:t xml:space="preserve">16.1.成交供应商应按成交通知书中规定的时间和地点，与采购人签订合同。</w:t>
      </w:r>
      <w:r/>
    </w:p>
    <w:p>
      <w:pPr>
        <w:pStyle w:val="1113"/>
        <w:ind w:firstLine="420"/>
        <w:jc w:val="both"/>
        <w:spacing w:before="0" w:beforeAutospacing="0" w:after="0" w:afterAutospacing="0" w:line="440" w:lineRule="exact"/>
        <w:widowControl w:val="off"/>
        <w:rPr>
          <w:rFonts w:hint="eastAsia"/>
          <w:color w:val="auto"/>
          <w:sz w:val="21"/>
          <w:szCs w:val="21"/>
          <w:highlight w:val="none"/>
        </w:rPr>
      </w:pPr>
      <w:r>
        <w:rPr>
          <w:rFonts w:hint="eastAsia"/>
          <w:color w:val="auto"/>
          <w:sz w:val="21"/>
          <w:szCs w:val="21"/>
          <w:highlight w:val="none"/>
        </w:rPr>
        <w:t xml:space="preserve">16.2.签订合同及合同条款应以磋商文件和成交供应商的磋商响应文件及其澄清承诺文件为依据。</w:t>
      </w:r>
      <w:r/>
    </w:p>
    <w:p>
      <w:pPr>
        <w:ind w:firstLine="422"/>
        <w:spacing w:line="440" w:lineRule="exact"/>
        <w:rPr>
          <w:rFonts w:hint="eastAsia" w:ascii="宋体" w:hAnsi="宋体" w:cs="宋体"/>
          <w:bCs/>
          <w:color w:val="auto"/>
          <w:szCs w:val="21"/>
          <w:highlight w:val="none"/>
        </w:rPr>
      </w:pPr>
      <w:r>
        <w:rPr>
          <w:rFonts w:hint="eastAsia" w:ascii="宋体" w:hAnsi="宋体" w:cs="宋体"/>
          <w:b/>
          <w:color w:val="auto"/>
          <w:szCs w:val="21"/>
          <w:highlight w:val="none"/>
        </w:rPr>
        <w:t xml:space="preserve">16.3.《政府采购促进中小企业发展管理办法》规定享受扶持政策获得政府采购合同的，小微企业不得将合同分包给大中型企业，中型企业不得将合同分包给大型企业。</w:t>
      </w:r>
      <w:r/>
    </w:p>
    <w:p>
      <w:pPr>
        <w:pStyle w:val="1113"/>
        <w:ind w:firstLine="422"/>
        <w:jc w:val="both"/>
        <w:spacing w:before="0" w:beforeAutospacing="0" w:after="0" w:afterAutospacing="0" w:line="440" w:lineRule="exact"/>
        <w:rPr>
          <w:rFonts w:hint="eastAsia"/>
          <w:b/>
          <w:color w:val="auto"/>
          <w:sz w:val="21"/>
          <w:szCs w:val="21"/>
          <w:highlight w:val="none"/>
        </w:rPr>
      </w:pPr>
      <w:r>
        <w:rPr>
          <w:rFonts w:hint="eastAsia"/>
          <w:b/>
          <w:color w:val="auto"/>
          <w:sz w:val="21"/>
          <w:szCs w:val="21"/>
          <w:highlight w:val="none"/>
        </w:rPr>
      </w:r>
      <w:r/>
    </w:p>
    <w:p>
      <w:pPr>
        <w:pStyle w:val="1113"/>
        <w:ind w:firstLine="422"/>
        <w:jc w:val="both"/>
        <w:spacing w:before="0" w:beforeAutospacing="0" w:after="0" w:afterAutospacing="0" w:line="440" w:lineRule="exact"/>
        <w:rPr>
          <w:rFonts w:hint="eastAsia"/>
          <w:bCs/>
          <w:color w:val="auto"/>
          <w:sz w:val="21"/>
          <w:szCs w:val="21"/>
          <w:highlight w:val="none"/>
        </w:rPr>
      </w:pPr>
      <w:r>
        <w:rPr>
          <w:rFonts w:hint="eastAsia"/>
          <w:b/>
          <w:color w:val="auto"/>
          <w:sz w:val="21"/>
          <w:szCs w:val="21"/>
          <w:highlight w:val="none"/>
        </w:rPr>
        <w:t xml:space="preserve">17.磋商保证金：</w:t>
      </w:r>
      <w:r>
        <w:rPr>
          <w:rFonts w:hint="eastAsia"/>
          <w:bCs/>
          <w:color w:val="auto"/>
          <w:sz w:val="21"/>
          <w:szCs w:val="21"/>
          <w:highlight w:val="none"/>
        </w:rPr>
        <w:t xml:space="preserve">本项目不收取保证金，但需在响应文件中提供《</w:t>
      </w:r>
      <w:r>
        <w:rPr>
          <w:rFonts w:hint="eastAsia"/>
          <w:bCs/>
          <w:color w:val="auto"/>
          <w:sz w:val="21"/>
          <w:szCs w:val="21"/>
          <w:highlight w:val="none"/>
          <w:lang w:val="zh-CN"/>
        </w:rPr>
        <w:t xml:space="preserve">投标（响应）保证承诺书》。</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440" w:lineRule="exact"/>
        <w:rPr>
          <w:rFonts w:hint="eastAsia" w:ascii="宋体" w:hAnsi="宋体" w:cs="宋体"/>
          <w:bCs/>
          <w:color w:val="auto"/>
          <w:szCs w:val="21"/>
          <w:highlight w:val="none"/>
        </w:rPr>
      </w:pPr>
      <w:r>
        <w:rPr>
          <w:rFonts w:hint="eastAsia" w:ascii="宋体" w:hAnsi="宋体" w:cs="宋体"/>
          <w:b/>
          <w:color w:val="auto"/>
          <w:szCs w:val="21"/>
          <w:highlight w:val="none"/>
        </w:rPr>
        <w:t xml:space="preserve">18.代理服务费：</w:t>
      </w:r>
      <w:r>
        <w:rPr>
          <w:rFonts w:hint="eastAsia" w:ascii="宋体" w:hAnsi="宋体" w:cs="宋体"/>
          <w:color w:val="auto"/>
          <w:szCs w:val="21"/>
          <w:highlight w:val="none"/>
          <w:lang w:val="zh-CN"/>
        </w:rPr>
        <w:t xml:space="preserve">按差额定率累进法</w:t>
      </w:r>
      <w:r>
        <w:rPr>
          <w:rFonts w:hint="eastAsia" w:ascii="宋体" w:hAnsi="宋体" w:cs="宋体"/>
          <w:color w:val="auto"/>
          <w:szCs w:val="21"/>
          <w:highlight w:val="none"/>
        </w:rPr>
        <w:t xml:space="preserve">分标段</w:t>
      </w:r>
      <w:r>
        <w:rPr>
          <w:rFonts w:hint="eastAsia" w:ascii="宋体" w:hAnsi="宋体" w:cs="宋体"/>
          <w:color w:val="auto"/>
          <w:szCs w:val="21"/>
          <w:highlight w:val="none"/>
          <w:lang w:val="zh-CN"/>
        </w:rPr>
        <w:t xml:space="preserve">计算收取，</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CN"/>
        </w:rPr>
        <w:t xml:space="preserve">单位在领取</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CN"/>
        </w:rPr>
        <w:t xml:space="preserve">通知书时向采购代理机构一次性付清。预算金额100万以下费率为预算金额的1.5%；预算金额100万（含）-500万费率为预算金额的1.1%；</w:t>
      </w:r>
      <w:r>
        <w:rPr>
          <w:rFonts w:hint="eastAsia" w:ascii="宋体" w:hAnsi="宋体"/>
          <w:color w:val="auto"/>
          <w:szCs w:val="21"/>
          <w:highlight w:val="none"/>
        </w:rPr>
        <w:t xml:space="preserve">本项目经中介超市竞价，招标代理费为2</w:t>
      </w:r>
      <w:r>
        <w:rPr>
          <w:rFonts w:hint="eastAsia" w:ascii="宋体" w:hAnsi="宋体"/>
          <w:color w:val="auto"/>
          <w:szCs w:val="21"/>
          <w:highlight w:val="none"/>
          <w:lang w:val="en-US" w:eastAsia="zh-CN"/>
        </w:rPr>
        <w:t xml:space="preserve">3250</w:t>
      </w:r>
      <w:r>
        <w:rPr>
          <w:rFonts w:hint="eastAsia" w:ascii="宋体" w:hAnsi="宋体"/>
          <w:color w:val="auto"/>
          <w:szCs w:val="21"/>
          <w:highlight w:val="none"/>
        </w:rPr>
        <w:t xml:space="preserve">元。</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服务费交纳账户：苏州通宜房地产土地评估咨询有限公司</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账号：0706678011120100265232</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开户银行：苏州农村商业银行营业部</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19.磋商说明：</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19.1不符合供应商资格要求的响应文件将被拒绝；</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19.2参加磋商的供应商必须</w:t>
      </w:r>
      <w:r>
        <w:rPr>
          <w:rFonts w:hint="eastAsia" w:ascii="宋体" w:hAnsi="宋体" w:cs="宋体"/>
          <w:color w:val="auto"/>
          <w:szCs w:val="21"/>
          <w:highlight w:val="none"/>
        </w:rPr>
        <w:t xml:space="preserve">法定代表人或授权委托人</w:t>
      </w:r>
      <w:r>
        <w:rPr>
          <w:rFonts w:hint="eastAsia" w:ascii="宋体" w:hAnsi="宋体" w:cs="宋体"/>
          <w:bCs/>
          <w:color w:val="auto"/>
          <w:szCs w:val="21"/>
          <w:highlight w:val="none"/>
        </w:rPr>
        <w:t xml:space="preserve">；</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19.3响应文件签署不符合要求的，响应文件将被拒绝；</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19.4最终报价超过采购预算的，不能成交；</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19.5不实质性响应磋商文件的不能成交；</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19.6各标段实质性响应磋商文件不满三家或进入二次报价的不满三家或二次报价在采购预算内不满三家的，磋商采购失败。</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44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20.未尽事宜：</w:t>
      </w:r>
      <w:r>
        <w:rPr>
          <w:rFonts w:hint="eastAsia" w:ascii="宋体" w:hAnsi="宋体" w:cs="宋体"/>
          <w:color w:val="auto"/>
          <w:szCs w:val="21"/>
          <w:highlight w:val="none"/>
        </w:rPr>
        <w:t xml:space="preserve">按《中华人民共和国政府采购法》及其他有关的法律法规的规定执行。</w:t>
      </w:r>
      <w:r/>
    </w:p>
    <w:p>
      <w:pPr>
        <w:ind w:firstLine="422"/>
        <w:spacing w:line="440" w:lineRule="exact"/>
        <w:rPr>
          <w:rFonts w:hint="eastAsia" w:ascii="宋体" w:hAnsi="宋体" w:cs="宋体"/>
          <w:color w:val="auto"/>
          <w:szCs w:val="21"/>
          <w:highlight w:val="none"/>
        </w:rPr>
      </w:pPr>
      <w:r>
        <w:rPr>
          <w:rFonts w:hint="eastAsia" w:ascii="宋体" w:hAnsi="宋体" w:cs="宋体"/>
          <w:b/>
          <w:bCs/>
          <w:color w:val="auto"/>
          <w:highlight w:val="none"/>
        </w:rPr>
        <w:t xml:space="preserve">21.备注：本文件打“★”为实质性条款，不可负偏离，如负偏离响应文件无效。</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bookmarkEnd w:id="24"/>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rPr>
          <w:rStyle w:val="1109"/>
          <w:rFonts w:hint="eastAsia" w:ascii="宋体" w:hAnsi="宋体" w:cs="宋体"/>
          <w:color w:val="auto"/>
          <w:highlight w:val="none"/>
        </w:rPr>
      </w:pPr>
      <w:r/>
      <w:bookmarkStart w:id="27" w:name="_Toc18546"/>
      <w:r/>
      <w:bookmarkStart w:id="28" w:name="_Toc705"/>
      <w:r>
        <w:rPr>
          <w:rStyle w:val="1109"/>
          <w:rFonts w:hint="eastAsia" w:ascii="宋体" w:hAnsi="宋体" w:cs="宋体"/>
          <w:color w:val="auto"/>
          <w:highlight w:val="none"/>
        </w:rPr>
        <w:br w:type="page" w:clear="all"/>
      </w:r>
      <w:r/>
    </w:p>
    <w:p>
      <w:pPr>
        <w:pStyle w:val="1089"/>
        <w:rPr>
          <w:rFonts w:hint="eastAsia" w:ascii="宋体" w:hAnsi="宋体" w:cs="宋体"/>
          <w:color w:val="auto"/>
          <w:highlight w:val="none"/>
        </w:rPr>
      </w:pPr>
      <w:r>
        <w:rPr>
          <w:rStyle w:val="1109"/>
          <w:rFonts w:hint="eastAsia" w:ascii="宋体" w:hAnsi="宋体" w:cs="宋体"/>
          <w:b/>
          <w:bCs/>
          <w:color w:val="auto"/>
          <w:highlight w:val="none"/>
        </w:rPr>
        <w:t xml:space="preserve">三、采购需求</w:t>
      </w:r>
      <w:bookmarkEnd w:id="27"/>
      <w:r/>
      <w:bookmarkEnd w:id="28"/>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bookmarkStart w:id="29" w:name="_Toc20120"/>
      <w:r>
        <w:rPr>
          <w:rFonts w:hint="eastAsia" w:ascii="宋体" w:hAnsi="宋体" w:cs="宋体"/>
          <w:bCs/>
          <w:color w:val="auto"/>
          <w:szCs w:val="21"/>
          <w:highlight w:val="none"/>
        </w:rPr>
        <w:t xml:space="preserve">受江苏省汾湖高新技术产业开发区城乡发展局之委托，苏州通宜房地产土地评估咨询有限公司对其需采购的</w:t>
      </w:r>
      <w:r>
        <w:rPr>
          <w:rFonts w:hint="eastAsia" w:ascii="宋体" w:hAnsi="宋体" w:cs="宋体"/>
          <w:bCs/>
          <w:color w:val="auto"/>
          <w:szCs w:val="21"/>
          <w:highlight w:val="none"/>
          <w:lang w:eastAsia="zh-CN"/>
        </w:rPr>
        <w:t xml:space="preserve">汾湖高新区2026年两河两湖水面长效管护项目</w:t>
      </w:r>
      <w:r>
        <w:rPr>
          <w:rFonts w:hint="eastAsia" w:ascii="宋体" w:hAnsi="宋体" w:cs="宋体"/>
          <w:bCs/>
          <w:color w:val="auto"/>
          <w:szCs w:val="21"/>
          <w:highlight w:val="none"/>
        </w:rPr>
        <w:t xml:space="preserve">在国内组织竞争性磋商采购。欢迎符合资格条件的响应单位前来报名参加。</w:t>
      </w:r>
      <w:bookmarkEnd w:id="29"/>
      <w:r/>
      <w:r/>
    </w:p>
    <w:p>
      <w:pPr>
        <w:ind w:firstLine="422"/>
        <w:rPr>
          <w:rFonts w:hint="eastAsia" w:ascii="宋体" w:hAnsi="宋体" w:eastAsia="宋体" w:cs="宋体"/>
          <w:color w:val="auto"/>
          <w:szCs w:val="21"/>
          <w:highlight w:val="none"/>
          <w:lang w:eastAsia="zh-CN"/>
        </w:rPr>
      </w:pPr>
      <w:r/>
      <w:bookmarkStart w:id="30" w:name="_Toc3978"/>
      <w:r>
        <w:rPr>
          <w:rFonts w:hint="eastAsia" w:ascii="宋体" w:hAnsi="宋体" w:cs="宋体"/>
          <w:b/>
          <w:color w:val="auto"/>
          <w:szCs w:val="21"/>
          <w:highlight w:val="none"/>
        </w:rPr>
        <w:t xml:space="preserve">一、采购编号</w:t>
      </w:r>
      <w:r>
        <w:rPr>
          <w:rFonts w:hint="eastAsia" w:ascii="宋体" w:hAnsi="宋体" w:cs="宋体"/>
          <w:color w:val="auto"/>
          <w:szCs w:val="21"/>
          <w:highlight w:val="none"/>
        </w:rPr>
        <w:t xml:space="preserve">：</w:t>
      </w:r>
      <w:bookmarkEnd w:id="30"/>
      <w:r>
        <w:rPr>
          <w:rFonts w:hint="eastAsia" w:ascii="宋体" w:hAnsi="宋体" w:cs="宋体"/>
          <w:color w:val="auto"/>
          <w:szCs w:val="21"/>
          <w:highlight w:val="none"/>
          <w:lang w:eastAsia="zh-CN"/>
        </w:rPr>
        <w:t xml:space="preserve">JSZC-320509-SZTY-C2025-0019</w:t>
      </w:r>
      <w:r/>
    </w:p>
    <w:p>
      <w:pPr>
        <w:ind w:firstLine="422"/>
        <w:rPr>
          <w:rFonts w:hint="eastAsia" w:ascii="宋体" w:hAnsi="宋体" w:eastAsia="宋体" w:cs="宋体"/>
          <w:b/>
          <w:color w:val="auto"/>
          <w:szCs w:val="21"/>
          <w:highlight w:val="none"/>
          <w:lang w:eastAsia="zh-CN"/>
        </w:rPr>
      </w:pPr>
      <w:r/>
      <w:bookmarkStart w:id="31" w:name="_Toc5894"/>
      <w:r>
        <w:rPr>
          <w:rFonts w:hint="eastAsia" w:ascii="宋体" w:hAnsi="宋体" w:cs="宋体"/>
          <w:b/>
          <w:color w:val="auto"/>
          <w:szCs w:val="21"/>
          <w:highlight w:val="none"/>
        </w:rPr>
        <w:t xml:space="preserve">二、项目名称：</w:t>
      </w:r>
      <w:bookmarkEnd w:id="31"/>
      <w:r>
        <w:rPr>
          <w:rFonts w:hint="eastAsia" w:ascii="宋体" w:hAnsi="宋体" w:cs="宋体"/>
          <w:bCs/>
          <w:color w:val="auto"/>
          <w:szCs w:val="21"/>
          <w:highlight w:val="none"/>
          <w:lang w:eastAsia="zh-CN"/>
        </w:rPr>
        <w:t xml:space="preserve">汾湖高新区2026年两河两湖水面长效管护项目</w:t>
      </w:r>
      <w:r/>
    </w:p>
    <w:p>
      <w:pPr>
        <w:ind w:firstLine="422"/>
        <w:rPr>
          <w:rFonts w:hint="eastAsia" w:ascii="宋体" w:hAnsi="宋体" w:eastAsia="宋体" w:cs="宋体"/>
          <w:bCs/>
          <w:color w:val="auto"/>
          <w:szCs w:val="21"/>
          <w:highlight w:val="none"/>
          <w:lang w:eastAsia="zh-CN"/>
        </w:rPr>
      </w:pPr>
      <w:r>
        <w:rPr>
          <w:rFonts w:hint="eastAsia" w:ascii="宋体" w:hAnsi="宋体" w:cs="宋体"/>
          <w:b/>
          <w:color w:val="auto"/>
          <w:szCs w:val="21"/>
          <w:highlight w:val="none"/>
        </w:rPr>
        <w:t xml:space="preserve">三、预算金额：</w:t>
      </w:r>
      <w:r>
        <w:rPr>
          <w:rFonts w:hint="eastAsia" w:ascii="宋体" w:hAnsi="宋体" w:cs="宋体"/>
          <w:bCs/>
          <w:color w:val="auto"/>
          <w:szCs w:val="21"/>
          <w:highlight w:val="none"/>
          <w:lang w:eastAsia="zh-CN"/>
        </w:rPr>
        <w:t xml:space="preserve">人民币壹佰柒拾伍万元整（小写：1750000.00元）</w:t>
      </w:r>
      <w:r/>
    </w:p>
    <w:p>
      <w:pPr>
        <w:ind w:firstLine="840"/>
        <w:rPr>
          <w:rFonts w:hint="eastAsia" w:ascii="宋体" w:hAnsi="宋体" w:eastAsia="宋体" w:cs="宋体"/>
          <w:bCs/>
          <w:color w:val="auto"/>
          <w:szCs w:val="21"/>
          <w:highlight w:val="none"/>
          <w:lang w:eastAsia="zh-CN"/>
        </w:rPr>
      </w:pPr>
      <w:r/>
      <w:bookmarkStart w:id="32" w:name="OLE_LINK4"/>
      <w:r>
        <w:rPr>
          <w:rFonts w:hint="eastAsia" w:ascii="宋体" w:hAnsi="宋体" w:cs="宋体"/>
          <w:b/>
          <w:color w:val="auto"/>
          <w:szCs w:val="21"/>
          <w:highlight w:val="none"/>
        </w:rPr>
        <w:t xml:space="preserve">最高限价</w:t>
      </w:r>
      <w:r>
        <w:rPr>
          <w:rFonts w:hint="eastAsia" w:ascii="宋体" w:hAnsi="宋体" w:cs="宋体"/>
          <w:bCs/>
          <w:color w:val="auto"/>
          <w:szCs w:val="21"/>
          <w:highlight w:val="none"/>
        </w:rPr>
        <w:t xml:space="preserve">：</w:t>
      </w:r>
      <w:bookmarkEnd w:id="32"/>
      <w:r>
        <w:rPr>
          <w:rFonts w:hint="eastAsia" w:ascii="宋体" w:hAnsi="宋体" w:cs="宋体"/>
          <w:bCs/>
          <w:color w:val="auto"/>
          <w:szCs w:val="21"/>
          <w:highlight w:val="none"/>
          <w:lang w:eastAsia="zh-CN"/>
        </w:rPr>
        <w:t xml:space="preserve">人民币</w:t>
      </w:r>
      <w:r>
        <w:rPr>
          <w:rFonts w:hint="eastAsia" w:ascii="宋体" w:hAnsi="宋体" w:cs="宋体"/>
          <w:bCs/>
          <w:color w:val="auto"/>
          <w:szCs w:val="21"/>
          <w:highlight w:val="none"/>
          <w:lang w:val="en-US" w:eastAsia="zh-CN"/>
        </w:rPr>
        <w:t xml:space="preserve">壹佰柒拾贰</w:t>
      </w:r>
      <w:r>
        <w:rPr>
          <w:rFonts w:hint="eastAsia" w:ascii="宋体" w:hAnsi="宋体" w:cs="宋体"/>
          <w:bCs/>
          <w:color w:val="auto"/>
          <w:szCs w:val="21"/>
          <w:highlight w:val="none"/>
          <w:lang w:eastAsia="zh-CN"/>
        </w:rPr>
        <w:t xml:space="preserve">万元整（小写：</w:t>
      </w:r>
      <w:r>
        <w:rPr>
          <w:rFonts w:hint="eastAsia" w:ascii="宋体" w:hAnsi="宋体" w:cs="宋体"/>
          <w:bCs/>
          <w:color w:val="auto"/>
          <w:szCs w:val="21"/>
          <w:highlight w:val="none"/>
          <w:lang w:val="en-US" w:eastAsia="zh-CN"/>
        </w:rPr>
        <w:t xml:space="preserve">1720000</w:t>
      </w:r>
      <w:r>
        <w:rPr>
          <w:rFonts w:hint="eastAsia" w:ascii="宋体" w:hAnsi="宋体" w:cs="宋体"/>
          <w:bCs/>
          <w:color w:val="auto"/>
          <w:szCs w:val="21"/>
          <w:highlight w:val="none"/>
          <w:lang w:eastAsia="zh-CN"/>
        </w:rPr>
        <w:t xml:space="preserve">.00元）</w:t>
      </w:r>
      <w:r/>
    </w:p>
    <w:p>
      <w:pPr>
        <w:ind w:firstLine="422"/>
        <w:rPr>
          <w:rFonts w:hint="eastAsia" w:ascii="宋体" w:hAnsi="宋体" w:cs="宋体"/>
          <w:bCs/>
          <w:color w:val="auto"/>
          <w:szCs w:val="21"/>
          <w:highlight w:val="none"/>
        </w:rPr>
      </w:pPr>
      <w:r>
        <w:rPr>
          <w:rFonts w:hint="eastAsia" w:ascii="宋体" w:hAnsi="宋体" w:cs="宋体"/>
          <w:b/>
          <w:color w:val="auto"/>
          <w:szCs w:val="21"/>
          <w:highlight w:val="none"/>
        </w:rPr>
        <w:t xml:space="preserve">四、服务期限：</w:t>
      </w:r>
      <w:bookmarkStart w:id="33" w:name="OLE_LINK1"/>
      <w:r>
        <w:rPr>
          <w:rFonts w:hint="eastAsia" w:ascii="宋体" w:hAnsi="宋体"/>
          <w:color w:val="auto"/>
          <w:szCs w:val="21"/>
          <w:highlight w:val="none"/>
        </w:rPr>
        <w:t xml:space="preserve">1年，服务起止日期以合同上签订的为准</w:t>
      </w:r>
      <w:r>
        <w:rPr>
          <w:rFonts w:hint="eastAsia" w:ascii="宋体" w:hAnsi="宋体" w:cs="宋体"/>
          <w:color w:val="auto"/>
          <w:szCs w:val="21"/>
          <w:highlight w:val="none"/>
        </w:rPr>
        <w:t xml:space="preserve">。 </w:t>
      </w:r>
      <w:bookmarkEnd w:id="33"/>
      <w:r/>
      <w:r/>
    </w:p>
    <w:p>
      <w:pPr>
        <w:ind w:firstLine="422"/>
        <w:rPr>
          <w:rFonts w:hint="eastAsia" w:ascii="宋体" w:hAnsi="宋体"/>
          <w:b/>
          <w:bCs/>
          <w:color w:val="auto"/>
          <w:szCs w:val="21"/>
          <w:highlight w:val="none"/>
        </w:rPr>
      </w:pPr>
      <w:r/>
      <w:bookmarkStart w:id="34" w:name="_Toc1554"/>
      <w:r>
        <w:rPr>
          <w:rFonts w:hint="eastAsia" w:ascii="宋体" w:hAnsi="宋体" w:cs="宋体"/>
          <w:b/>
          <w:color w:val="auto"/>
          <w:szCs w:val="21"/>
          <w:highlight w:val="none"/>
        </w:rPr>
        <w:t xml:space="preserve">五、</w:t>
      </w:r>
      <w:r>
        <w:rPr>
          <w:rFonts w:hint="eastAsia" w:ascii="宋体" w:hAnsi="宋体"/>
          <w:b/>
          <w:bCs/>
          <w:color w:val="auto"/>
          <w:szCs w:val="21"/>
          <w:highlight w:val="none"/>
        </w:rPr>
        <w:t xml:space="preserve">采购需求</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
          <w:color w:val="auto"/>
          <w:szCs w:val="21"/>
          <w:highlight w:val="none"/>
        </w:rPr>
        <w:t xml:space="preserve">（一）采购需求</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eastAsia="zh-CN"/>
        </w:rPr>
        <w:t xml:space="preserve">汾湖高新区2026年两河两湖水面长效管护项目，</w:t>
      </w:r>
      <w:r>
        <w:rPr>
          <w:rFonts w:hint="eastAsia" w:ascii="宋体" w:hAnsi="宋体" w:cs="宋体"/>
          <w:bCs/>
          <w:color w:val="auto"/>
          <w:szCs w:val="21"/>
          <w:highlight w:val="none"/>
        </w:rPr>
        <w:t xml:space="preserve">项目位于苏州市吴江区汾湖高新区，需要对吴天贞荡、雪落漾、华士江、道田江进行水面长效管护工作。</w:t>
      </w:r>
      <w:r/>
    </w:p>
    <w:p>
      <w:pPr>
        <w:ind w:firstLine="420"/>
        <w:jc w:val="left"/>
        <w:shd w:val="clear" w:color="ffffff" w:themeColor="background1" w:fill="ffffff" w:themeFill="background1"/>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（二）服务范围</w:t>
      </w:r>
      <w:r/>
    </w:p>
    <w:tbl>
      <w:tblPr>
        <w:tblStyle w:val="1092"/>
        <w:tblW w:w="8336" w:type="dxa"/>
        <w:tblInd w:w="0" w:type="dxa"/>
        <w:tblLayout w:type="fixed"/>
        <w:tblCellMar>
          <w:left w:w="15" w:type="dxa"/>
          <w:top w:w="15" w:type="dxa"/>
          <w:right w:w="15" w:type="dxa"/>
          <w:bottom w:w="15" w:type="dxa"/>
        </w:tblCellMar>
        <w:tblLook w:val="04A0" w:firstRow="1" w:lastRow="0" w:firstColumn="1" w:lastColumn="0" w:noHBand="0" w:noVBand="1"/>
      </w:tblPr>
      <w:tblGrid>
        <w:gridCol w:w="615"/>
        <w:gridCol w:w="1142"/>
        <w:gridCol w:w="615"/>
        <w:gridCol w:w="1708"/>
        <w:gridCol w:w="1288"/>
        <w:gridCol w:w="1279"/>
        <w:gridCol w:w="1689"/>
      </w:tblGrid>
      <w:tr>
        <w:trPr>
          <w:trHeight w:val="409"/>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总序</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养护任务</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000000" w:sz="4" w:space="0"/>
              <w:left w:val="single" w:color="000000" w:sz="4" w:space="0"/>
              <w:bottom w:val="single" w:color="000000" w:sz="4" w:space="0"/>
            </w:tcBorders>
            <w:tcW w:w="1708"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任务类型</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工作量</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备注</w:t>
            </w:r>
            <w:r/>
          </w:p>
        </w:tc>
      </w:tr>
      <w:tr>
        <w:trPr>
          <w:trHeight w:val="409"/>
        </w:trPr>
        <w:tc>
          <w:tcPr>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吴天贞荡</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tcBorders>
            <w:tcW w:w="17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水域保洁</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112500</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9"/>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tcBorders>
            <w:tcW w:w="17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陆域保洁</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9000</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9"/>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tcBorders>
            <w:tcW w:w="17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护岸养护</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585</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浆砌块石</w:t>
            </w:r>
            <w:r/>
          </w:p>
        </w:tc>
      </w:tr>
      <w:tr>
        <w:trPr>
          <w:trHeight w:val="409"/>
        </w:trPr>
        <w:tc>
          <w:tcPr>
            <w:shd w:val="clear" w:color="ffffff" w:fill="auto"/>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ffffff" w:fill="auto"/>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雪落漾</w:t>
            </w:r>
            <w:r/>
          </w:p>
        </w:tc>
        <w:tc>
          <w:tcPr>
            <w:shd w:val="clear" w:color="ffffff"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ffffff" w:fill="auto"/>
            <w:tcBorders>
              <w:top w:val="single" w:color="000000" w:sz="4" w:space="0"/>
              <w:left w:val="single" w:color="000000" w:sz="4" w:space="0"/>
              <w:bottom w:val="single" w:color="000000" w:sz="4" w:space="0"/>
            </w:tcBorders>
            <w:tcW w:w="17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水域保洁</w:t>
            </w:r>
            <w:r/>
          </w:p>
        </w:tc>
        <w:tc>
          <w:tcPr>
            <w:shd w:val="clear" w:color="ffffff"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305000</w:t>
            </w:r>
            <w:r/>
          </w:p>
        </w:tc>
        <w:tc>
          <w:tcPr>
            <w:shd w:val="clear" w:color="ffffff"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平方米</w:t>
            </w:r>
            <w:r/>
          </w:p>
        </w:tc>
        <w:tc>
          <w:tcPr>
            <w:shd w:val="clear" w:color="ffffff"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9"/>
        </w:trPr>
        <w:tc>
          <w:tcPr>
            <w:shd w:val="clear" w:color="ffffff" w:fill="auto"/>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ffffff" w:fill="auto"/>
            <w:tcBorders>
              <w:top w:val="single" w:color="000000" w:sz="4" w:space="0"/>
              <w:left w:val="single" w:color="000000" w:sz="4" w:space="0"/>
              <w:bottom w:val="single" w:color="000000" w:sz="4" w:space="0"/>
            </w:tcBorders>
            <w:tcW w:w="17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陆域保洁</w:t>
            </w:r>
            <w:r/>
          </w:p>
        </w:tc>
        <w:tc>
          <w:tcPr>
            <w:shd w:val="clear" w:color="ffffff"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73200</w:t>
            </w:r>
            <w:r/>
          </w:p>
        </w:tc>
        <w:tc>
          <w:tcPr>
            <w:shd w:val="clear" w:color="ffffff"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平方米</w:t>
            </w:r>
            <w:r/>
          </w:p>
        </w:tc>
        <w:tc>
          <w:tcPr>
            <w:shd w:val="clear" w:color="ffffff"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9"/>
        </w:trPr>
        <w:tc>
          <w:tcPr>
            <w:shd w:val="clear" w:color="ffffff" w:fill="auto"/>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ffffff" w:fill="auto"/>
            <w:tcBorders>
              <w:top w:val="single" w:color="000000" w:sz="4" w:space="0"/>
              <w:left w:val="single" w:color="000000" w:sz="4" w:space="0"/>
              <w:bottom w:val="single" w:color="000000" w:sz="4" w:space="0"/>
            </w:tcBorders>
            <w:tcW w:w="17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护岸养护</w:t>
            </w:r>
            <w:r/>
          </w:p>
        </w:tc>
        <w:tc>
          <w:tcPr>
            <w:shd w:val="clear" w:color="ffffff"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4258</w:t>
            </w:r>
            <w:r/>
          </w:p>
        </w:tc>
        <w:tc>
          <w:tcPr>
            <w:shd w:val="clear" w:color="ffffff"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米</w:t>
            </w:r>
            <w:r/>
          </w:p>
        </w:tc>
        <w:tc>
          <w:tcPr>
            <w:shd w:val="clear" w:color="ffffff"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浆砌块石</w:t>
            </w:r>
            <w:r/>
          </w:p>
        </w:tc>
      </w:tr>
      <w:tr>
        <w:trPr>
          <w:trHeight w:val="409"/>
        </w:trPr>
        <w:tc>
          <w:tcPr>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华士江</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tcBorders>
            <w:tcW w:w="17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水域保洁</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45824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9"/>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绿化养护</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33810</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9"/>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tcBorders>
            <w:tcW w:w="1708"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护岸养护</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867</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浆砌块石</w:t>
            </w:r>
            <w:r/>
          </w:p>
        </w:tc>
      </w:tr>
      <w:tr>
        <w:trPr>
          <w:trHeight w:val="409"/>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1708"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混凝土</w:t>
            </w:r>
            <w:r/>
          </w:p>
        </w:tc>
      </w:tr>
      <w:tr>
        <w:trPr>
          <w:trHeight w:val="409"/>
        </w:trPr>
        <w:tc>
          <w:tcPr>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道田江</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tcBorders>
            <w:tcW w:w="17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水域保洁</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29001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9"/>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tcBorders>
            <w:tcW w:w="17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陆域保洁</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5376.8</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9"/>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tcBorders>
            <w:tcW w:w="17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绿化养护</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3448</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9"/>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tcBorders>
            <w:tcW w:w="17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护岸养护</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1200</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浆砌块石</w:t>
            </w:r>
            <w:r/>
          </w:p>
        </w:tc>
      </w:tr>
      <w:tr>
        <w:trPr>
          <w:trHeight w:val="409"/>
        </w:trPr>
        <w:tc>
          <w:tcPr>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水生植物应急处置</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全自动保洁船</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天</w:t>
            </w:r>
            <w:r/>
          </w:p>
        </w:tc>
        <w:tc>
          <w:tcPr>
            <w:tcBorders>
              <w:top w:val="single" w:color="000000" w:sz="4" w:space="0"/>
              <w:left w:val="single" w:color="000000" w:sz="4" w:space="0"/>
              <w:right w:val="single" w:color="000000" w:sz="4" w:space="0"/>
            </w:tcBorders>
            <w:tcW w:w="1689" w:type="dxa"/>
            <w:vAlign w:val="center"/>
            <w:vMerge w:val="restart"/>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包括其他保障工作（按实结算）</w:t>
            </w:r>
            <w:r/>
          </w:p>
        </w:tc>
      </w:tr>
      <w:tr>
        <w:trPr>
          <w:trHeight w:val="409"/>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right w:val="single" w:color="000000" w:sz="4" w:space="0"/>
            </w:tcBorders>
            <w:tcW w:w="1142"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半自动保洁船</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天</w:t>
            </w:r>
            <w:r/>
          </w:p>
        </w:tc>
        <w:tc>
          <w:tcPr>
            <w:tcBorders>
              <w:left w:val="single" w:color="000000" w:sz="4" w:space="0"/>
              <w:right w:val="single" w:color="000000" w:sz="4" w:space="0"/>
            </w:tcBorders>
            <w:tcW w:w="1689"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9"/>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right w:val="single" w:color="000000" w:sz="4" w:space="0"/>
            </w:tcBorders>
            <w:tcW w:w="1142"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人工</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人次</w:t>
            </w:r>
            <w:r/>
          </w:p>
        </w:tc>
        <w:tc>
          <w:tcPr>
            <w:tcBorders>
              <w:left w:val="single" w:color="000000" w:sz="4" w:space="0"/>
              <w:right w:val="single" w:color="000000" w:sz="4" w:space="0"/>
            </w:tcBorders>
            <w:tcW w:w="1689"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133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垃圾处置</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水域、陆域垃圾收集、清运及末端处理</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257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吨</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垃圾外运规范化处置（按实结算）</w:t>
            </w:r>
            <w:r/>
          </w:p>
        </w:tc>
      </w:tr>
    </w:tbl>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说明：堤防护岸一般包括土堤、硬质护岸、柔性护坡等；防汛通道一般包括泥结碎石路面、水泥混凝土路面、预制块路面、沥青混凝土路面等类型；河床维修养护一般包括河床保护和河床疏浚等内容；河道绿化一般分为三类区域，每类区域的划定标准见《上海市河道维修养护技术规程》；附属设施包括景观设施、河道护栏、河道标牌、排水设施、拦漂设施、水尺等。</w:t>
      </w:r>
      <w:r/>
    </w:p>
    <w:p>
      <w:pPr>
        <w:ind w:firstLine="420"/>
        <w:jc w:val="left"/>
        <w:shd w:val="clear" w:color="ffffff" w:themeColor="background1" w:fill="ffffff" w:themeFill="background1"/>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（三）目标、养护范围及工作内容：</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 目标</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坚持以科学发展观为指导，</w:t>
      </w:r>
      <w:bookmarkStart w:id="35" w:name="_Toc366834996"/>
      <w:r>
        <w:rPr>
          <w:rFonts w:hint="eastAsia" w:ascii="宋体" w:hAnsi="宋体" w:cs="宋体"/>
          <w:bCs/>
          <w:color w:val="auto"/>
          <w:szCs w:val="21"/>
          <w:highlight w:val="none"/>
        </w:rPr>
        <w:t xml:space="preserve">通过建立保洁、巡检、执法、治理、考核等高效统一的长效管理机制，巩固河湖整治成果，改善和保护水生态环境，恢复河湖自然功能，促进景观显著提高，改善水环境面貌。</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2．养护范围及</w:t>
      </w:r>
      <w:bookmarkEnd w:id="35"/>
      <w:r>
        <w:rPr>
          <w:rFonts w:hint="eastAsia" w:ascii="宋体" w:hAnsi="宋体" w:cs="宋体"/>
          <w:bCs/>
          <w:color w:val="auto"/>
          <w:szCs w:val="21"/>
          <w:highlight w:val="none"/>
        </w:rPr>
        <w:t xml:space="preserve">工作内容</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（1）养护范围：本项目岸线6米范围及相应水域。</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（2）工作内容：两河两湖的水域保洁、陆域保洁、绿化养护、护岸养护</w:t>
      </w:r>
      <w:r>
        <w:rPr>
          <w:rFonts w:hint="eastAsia" w:ascii="宋体" w:hAnsi="宋体" w:cs="宋体"/>
          <w:bCs/>
          <w:color w:val="auto"/>
          <w:szCs w:val="21"/>
          <w:highlight w:val="none"/>
        </w:rPr>
        <w:t xml:space="preserve">、</w:t>
      </w:r>
      <w:r>
        <w:rPr>
          <w:rFonts w:hint="eastAsia" w:ascii="宋体" w:hAnsi="宋体" w:cs="宋体"/>
          <w:bCs/>
          <w:color w:val="auto"/>
          <w:szCs w:val="21"/>
          <w:highlight w:val="none"/>
        </w:rPr>
        <w:t xml:space="preserve">垃圾处置、水生植物应急处置等内容。</w:t>
      </w:r>
      <w:r/>
    </w:p>
    <w:p>
      <w:pPr>
        <w:ind w:firstLine="420"/>
        <w:jc w:val="left"/>
        <w:shd w:val="clear" w:color="ffffff" w:themeColor="background1" w:fill="ffffff" w:themeFill="background1"/>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（四）养护需求：</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根据《苏州市吴江区进一步加强河湖管护工作的通知》吴政办【2021】135号及《上海市水务局关于进一步加强本市河湖长效管理养护工作的通知》沪水务【2019】44号文件精神：应切实提高养护人员作业水平，积极选用新技术、新设备，全面提高养护精细化、智能化水平。择优选择养护作业单位，提升养护作业单位规模化、标准化水平，两河两湖养护基本配置要求如下：</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（1）养护作业单位应及时做好人事和作业设备信息备案工作。</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（2）养护人员工作服和养护设备要统一颜色与标识。船（车）容整洁、规范、美观，所有作业的船舶、车辆应在醒目位置喷涂养护公司名称、监督电话字样，安装行车（船）记录仪等监控设备。</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（3）养护人员工资不得低于本地最低工资保障制度，按照相关要求落实各类津贴补贴标准和福利待遇措施，主动为一线工人购买意外伤害保险。</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 w:val="0"/>
          <w:bCs/>
          <w:color w:val="auto"/>
          <w:szCs w:val="21"/>
          <w:highlight w:val="none"/>
        </w:rPr>
        <w:t xml:space="preserve">养护人员包括管理人员和一线工人。管理人员必须为本单位正式职工(在本单位缴纳社保 )，</w:t>
      </w:r>
      <w:r>
        <w:rPr>
          <w:rFonts w:hint="eastAsia" w:ascii="宋体" w:hAnsi="宋体" w:cs="宋体"/>
          <w:b w:val="0"/>
          <w:bCs/>
          <w:color w:val="auto"/>
          <w:szCs w:val="21"/>
          <w:highlight w:val="none"/>
          <w:lang w:val="en-US" w:eastAsia="zh-CN"/>
        </w:rPr>
        <w:t xml:space="preserve">2艘</w:t>
      </w:r>
      <w:r>
        <w:rPr>
          <w:rFonts w:hint="eastAsia" w:ascii="宋体" w:hAnsi="宋体" w:cs="宋体"/>
          <w:bCs/>
          <w:color w:val="auto"/>
          <w:szCs w:val="21"/>
          <w:highlight w:val="none"/>
          <w:lang w:val="en-US" w:eastAsia="zh-CN"/>
        </w:rPr>
        <w:t xml:space="preserve">机械</w:t>
      </w:r>
      <w:r>
        <w:rPr>
          <w:rFonts w:hint="eastAsia" w:ascii="宋体" w:hAnsi="宋体" w:cs="宋体"/>
          <w:bCs/>
          <w:color w:val="auto"/>
          <w:szCs w:val="21"/>
          <w:highlight w:val="none"/>
        </w:rPr>
        <w:t xml:space="preserve">打捞船及</w:t>
      </w:r>
      <w:r>
        <w:rPr>
          <w:rFonts w:hint="eastAsia" w:ascii="宋体" w:hAnsi="宋体" w:cs="宋体"/>
          <w:bCs/>
          <w:color w:val="auto"/>
          <w:szCs w:val="21"/>
          <w:highlight w:val="none"/>
          <w:lang w:val="en-US" w:eastAsia="zh-CN"/>
        </w:rPr>
        <w:t xml:space="preserve">1艘</w:t>
      </w:r>
      <w:r>
        <w:rPr>
          <w:rFonts w:hint="eastAsia" w:ascii="宋体" w:hAnsi="宋体" w:cs="宋体"/>
          <w:bCs/>
          <w:color w:val="auto"/>
          <w:szCs w:val="21"/>
          <w:highlight w:val="none"/>
        </w:rPr>
        <w:t xml:space="preserve">藻水分离船每条船只配备养护人员不少于2名，均须会游泳，其中一人为船舶驾驶员，须具备机动船只驾驶能力和经验，并具备相应资质，应持海事部门颁发的驾驶证，满足航道、海事部门要求。临水作业人员必须岗前安全培训，必须配备救生圈等安全设施，穿着救生衣，要制定人员、船舶遇险应急方案。</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5）养护作业单位须独立设置项目部，并合理设置业务用房。项目部一般应配备办公室、会议室、值班室、抢险物资仓库并配有电脑、电话、打印机、办公家具等办公设备，组织结构图、项目指挥图、项目部形象进度安排图、岗位职责牌等资料应及时上墙。业务用房是供一线工人休息和放置作业工具的工作用房，应具备基本的生产生活功能。</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（6）养护作业单位应具备固定的船舶停靠点、作业码头、水生植物临时堆放点；正规的垃圾（水生植物）处置渠道。</w:t>
      </w:r>
      <w:r/>
    </w:p>
    <w:p>
      <w:pPr>
        <w:ind w:firstLine="420"/>
        <w:jc w:val="left"/>
        <w:shd w:val="clear" w:color="ffffff" w:themeColor="background1" w:fill="ffffff" w:themeFill="background1"/>
        <w:widowControl/>
        <w:rPr>
          <w:rFonts w:hint="eastAsia" w:ascii="宋体" w:hAnsi="宋体"/>
          <w:b/>
          <w:bCs/>
          <w:color w:val="auto"/>
          <w:szCs w:val="21"/>
          <w:highlight w:val="none"/>
        </w:rPr>
      </w:pPr>
      <w:r>
        <w:rPr>
          <w:rFonts w:hint="eastAsia" w:ascii="宋体" w:hAnsi="宋体"/>
          <w:b/>
          <w:bCs/>
          <w:color w:val="auto"/>
          <w:szCs w:val="21"/>
          <w:highlight w:val="none"/>
        </w:rPr>
        <w:t xml:space="preserve">(五)人员要求：</w:t>
      </w:r>
      <w:r/>
    </w:p>
    <w:p>
      <w:pPr>
        <w:ind w:firstLine="420"/>
        <w:jc w:val="left"/>
        <w:shd w:val="clear" w:color="ffffff" w:themeColor="background1" w:fill="ffffff" w:themeFill="background1"/>
        <w:widowControl/>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服务人员（</w:t>
      </w:r>
      <w:r>
        <w:rPr>
          <w:rFonts w:hint="eastAsia" w:ascii="宋体" w:hAnsi="宋体"/>
          <w:b/>
          <w:bCs/>
          <w:color w:val="auto"/>
          <w:szCs w:val="21"/>
          <w:highlight w:val="none"/>
          <w:lang w:val="en-US" w:eastAsia="zh-CN"/>
        </w:rPr>
        <w:t xml:space="preserve">项目管理人员除外）</w:t>
      </w:r>
      <w:r>
        <w:rPr>
          <w:rFonts w:hint="eastAsia" w:ascii="宋体" w:hAnsi="宋体" w:cs="宋体"/>
          <w:b/>
          <w:color w:val="auto"/>
          <w:szCs w:val="21"/>
          <w:highlight w:val="none"/>
          <w:lang w:val="en-US" w:eastAsia="zh-CN"/>
        </w:rPr>
        <w:t xml:space="preserve">要求：</w:t>
      </w:r>
      <w:r>
        <w:rPr>
          <w:rFonts w:hint="eastAsia" w:ascii="宋体" w:hAnsi="宋体" w:cs="宋体"/>
          <w:b/>
          <w:color w:val="auto"/>
          <w:szCs w:val="21"/>
          <w:highlight w:val="none"/>
        </w:rPr>
        <w:t xml:space="preserve">一线水域保洁人员按每12万平方米配置1人，不得少于22人；陆域保洁养护人员按每4公里配置1人，不得少于5人；绿化养护人员按每9000平方米配置 1人，不得少于5人；养护维修技术人员按每 4 公里配置 1人，不得少于4人。</w:t>
      </w:r>
      <w:bookmarkStart w:id="36" w:name="OLE_LINK6"/>
      <w:r>
        <w:rPr>
          <w:rFonts w:hint="eastAsia" w:ascii="宋体" w:hAnsi="宋体" w:cs="宋体"/>
          <w:b/>
          <w:bCs w:val="0"/>
          <w:color w:val="auto"/>
          <w:szCs w:val="21"/>
          <w:highlight w:val="none"/>
          <w:lang w:val="en-US" w:eastAsia="zh-CN"/>
        </w:rPr>
        <w:t xml:space="preserve">本项目全年无休。人员年龄要求：要求非超龄（未达退年龄）人数不低于20%，如有小数点，进位取整</w:t>
      </w:r>
      <w:r>
        <w:rPr>
          <w:rFonts w:hint="eastAsia" w:ascii="宋体" w:hAnsi="宋体" w:cs="宋体"/>
          <w:b/>
          <w:bCs w:val="0"/>
          <w:color w:val="auto"/>
          <w:szCs w:val="21"/>
          <w:highlight w:val="none"/>
        </w:rPr>
        <w:t xml:space="preserve">。</w:t>
      </w:r>
      <w:bookmarkEnd w:id="36"/>
      <w:r>
        <w:rPr>
          <w:rFonts w:hint="eastAsia" w:ascii="宋体" w:hAnsi="宋体" w:cs="宋体"/>
          <w:b/>
          <w:bCs w:val="0"/>
          <w:color w:val="auto"/>
          <w:szCs w:val="21"/>
          <w:highlight w:val="none"/>
          <w:lang w:val="en-US" w:eastAsia="zh-CN"/>
        </w:rPr>
        <w:t xml:space="preserve">年龄最高不得高于65周岁。</w:t>
      </w:r>
      <w:r/>
    </w:p>
    <w:p>
      <w:pPr>
        <w:ind w:firstLine="420"/>
        <w:jc w:val="left"/>
        <w:shd w:val="clear" w:color="ffffff" w:themeColor="background1" w:fill="ffffff" w:themeFill="background1"/>
        <w:widowControl/>
        <w:rPr>
          <w:rFonts w:hint="eastAsia" w:ascii="宋体" w:hAnsi="宋体" w:eastAsia="宋体" w:cs="宋体"/>
          <w:b/>
          <w:bCs w:val="0"/>
          <w:color w:val="auto"/>
          <w:szCs w:val="21"/>
          <w:highlight w:val="none"/>
          <w:lang w:eastAsia="zh-CN"/>
        </w:rPr>
      </w:pPr>
      <w:r>
        <w:rPr>
          <w:rFonts w:hint="eastAsia" w:ascii="宋体" w:hAnsi="宋体" w:cs="宋体"/>
          <w:b/>
          <w:bCs w:val="0"/>
          <w:color w:val="auto"/>
          <w:szCs w:val="21"/>
          <w:highlight w:val="none"/>
        </w:rPr>
        <w:t xml:space="preserve">（2）项目管理人员</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lang w:val="en-US" w:eastAsia="zh-CN"/>
        </w:rPr>
        <w:t xml:space="preserve">1名</w:t>
      </w:r>
      <w:r>
        <w:rPr>
          <w:rFonts w:hint="eastAsia" w:ascii="宋体" w:hAnsi="宋体" w:cs="宋体"/>
          <w:b/>
          <w:bCs w:val="0"/>
          <w:color w:val="auto"/>
          <w:szCs w:val="21"/>
          <w:highlight w:val="none"/>
          <w:lang w:eastAsia="zh-CN"/>
        </w:rPr>
        <w:t xml:space="preserve">）</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①服务单位要确定一名项目管理人员，需要熟悉电脑操作，必须专门服务于本项目，不得用于其他项目中，并用书面材料报采购单位备案。项目管</w:t>
      </w:r>
      <w:r>
        <w:rPr>
          <w:rFonts w:hint="eastAsia" w:ascii="宋体" w:hAnsi="宋体" w:cs="宋体"/>
          <w:bCs/>
          <w:color w:val="auto"/>
          <w:szCs w:val="21"/>
          <w:highlight w:val="none"/>
        </w:rPr>
        <w:t xml:space="preserve">理人员负责本项目的日常管理、每日巡查和与采购单位的联系，应在保洁区域内来回巡视，针对靠近河岸边零星垃圾以及河道垃圾及时通知保洁船只。成交后项目管理人员未按采购承诺到位或更换项目管理人员（除经采购单位同意）将视为违约行为，采购单位将向保洁单位收取违约金5000元/人次。成交后由于项目管理人员现场管理工作不到位，或无法起到应有的作用，视为不称职，采购单位将要求保洁公司更换相应的项目管理人员，并向保洁公司收取违约金5000元/人次。如果需要更换项目管理人员，至少提前7天书面形式通知采购单位，并征得采购单位的同意。</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②项目管理人员等有关人员必须按时参加由采购单位召开的例会和各种必须参加的会议。</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③项目管理人员及时向采购单位报备日常管理发现的不利河道的各类问题（如河道筑坝、污水直排、堤岸破损、偷倒垃圾、河道围网等等），并协助采购单位或相关单位进行调查、处理。</w:t>
      </w:r>
      <w:r/>
    </w:p>
    <w:p>
      <w:pPr>
        <w:ind w:firstLine="420"/>
        <w:jc w:val="left"/>
        <w:shd w:val="clear" w:color="ffffff" w:themeColor="background1" w:fill="ffffff" w:themeFill="background1"/>
        <w:widowControl/>
        <w:rPr>
          <w:rFonts w:hint="eastAsia" w:ascii="宋体" w:hAnsi="宋体" w:cs="宋体"/>
          <w:b/>
          <w:bCs w:val="0"/>
          <w:color w:val="ff0000"/>
          <w:szCs w:val="21"/>
          <w:highlight w:val="none"/>
          <w:lang w:val="en-US" w:eastAsia="zh-CN"/>
        </w:rPr>
      </w:pPr>
      <w:r>
        <w:rPr>
          <w:rFonts w:hint="eastAsia" w:ascii="宋体" w:hAnsi="宋体" w:cs="宋体"/>
          <w:b/>
          <w:bCs w:val="0"/>
          <w:color w:val="ff0000"/>
          <w:szCs w:val="21"/>
          <w:highlight w:val="none"/>
        </w:rPr>
        <w:t xml:space="preserve">★（</w:t>
      </w:r>
      <w:r>
        <w:rPr>
          <w:rFonts w:hint="eastAsia" w:ascii="宋体" w:hAnsi="宋体" w:cs="宋体"/>
          <w:b/>
          <w:bCs w:val="0"/>
          <w:color w:val="ff0000"/>
          <w:szCs w:val="21"/>
          <w:highlight w:val="none"/>
          <w:lang w:val="en-US" w:eastAsia="zh-CN"/>
        </w:rPr>
        <w:t xml:space="preserve">3</w:t>
      </w:r>
      <w:r>
        <w:rPr>
          <w:rFonts w:hint="eastAsia" w:ascii="宋体" w:hAnsi="宋体" w:cs="宋体"/>
          <w:b/>
          <w:bCs w:val="0"/>
          <w:color w:val="ff0000"/>
          <w:szCs w:val="21"/>
          <w:highlight w:val="none"/>
        </w:rPr>
        <w:t xml:space="preserve">）</w:t>
      </w:r>
      <w:r>
        <w:rPr>
          <w:rFonts w:hint="eastAsia" w:ascii="宋体" w:hAnsi="宋体" w:cs="宋体"/>
          <w:b/>
          <w:bCs w:val="0"/>
          <w:color w:val="ff0000"/>
          <w:szCs w:val="21"/>
          <w:highlight w:val="none"/>
          <w:lang w:val="en-US" w:eastAsia="zh-CN"/>
        </w:rPr>
        <w:t xml:space="preserve">投标单位应于投标文件中确定该项目团队人员（包括项目管理人员）名单，中标公示发布之日起10日内应将所有人员配备到位，由采购人核查证件，并在投标文件中承诺完全响应招标文件要求，否则为非实质性响应。</w:t>
      </w:r>
      <w:r/>
    </w:p>
    <w:p>
      <w:pPr>
        <w:ind w:firstLine="420"/>
        <w:jc w:val="left"/>
        <w:shd w:val="clear" w:color="ffffff" w:themeColor="background1" w:fill="ffffff" w:themeFill="background1"/>
        <w:widowControl/>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）中标后采购方按</w:t>
      </w:r>
      <w:r>
        <w:rPr>
          <w:rFonts w:hint="eastAsia" w:ascii="宋体" w:hAnsi="宋体" w:cs="宋体"/>
          <w:bCs/>
          <w:color w:val="auto"/>
          <w:szCs w:val="21"/>
          <w:highlight w:val="none"/>
          <w:lang w:val="en-US" w:eastAsia="zh-CN"/>
        </w:rPr>
        <w:t xml:space="preserve">招标要求及响应文件承诺的</w:t>
      </w:r>
      <w:r>
        <w:rPr>
          <w:rFonts w:hint="eastAsia" w:ascii="宋体" w:hAnsi="宋体" w:cs="宋体"/>
          <w:bCs/>
          <w:color w:val="auto"/>
          <w:szCs w:val="21"/>
          <w:highlight w:val="none"/>
        </w:rPr>
        <w:t xml:space="preserve">人员名单</w:t>
      </w:r>
      <w:r>
        <w:rPr>
          <w:rFonts w:hint="eastAsia" w:ascii="宋体" w:hAnsi="宋体" w:cs="宋体"/>
          <w:bCs/>
          <w:color w:val="auto"/>
          <w:szCs w:val="21"/>
          <w:highlight w:val="none"/>
          <w:lang w:val="en-US" w:eastAsia="zh-CN"/>
        </w:rPr>
        <w:t xml:space="preserve">进行</w:t>
      </w:r>
      <w:r>
        <w:rPr>
          <w:rFonts w:hint="eastAsia" w:ascii="宋体" w:hAnsi="宋体" w:cs="宋体"/>
          <w:bCs/>
          <w:color w:val="auto"/>
          <w:szCs w:val="21"/>
          <w:highlight w:val="none"/>
        </w:rPr>
        <w:t xml:space="preserve">验收。</w:t>
      </w:r>
      <w:r>
        <w:rPr>
          <w:rFonts w:hint="eastAsia" w:ascii="宋体" w:hAnsi="宋体" w:cs="宋体"/>
          <w:bCs/>
          <w:color w:val="auto"/>
          <w:szCs w:val="21"/>
          <w:highlight w:val="none"/>
          <w:lang w:val="en-US" w:eastAsia="zh-CN"/>
        </w:rPr>
        <w:t xml:space="preserve">若中标单位不能按要求提供服务人员，经相关单位调查取证后，将被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r/>
    </w:p>
    <w:p>
      <w:pPr>
        <w:ind w:firstLine="420"/>
        <w:jc w:val="left"/>
        <w:shd w:val="clear" w:color="ffffff" w:themeColor="background1" w:fill="ffffff" w:themeFill="background1"/>
        <w:widowControl/>
        <w:rPr>
          <w:rFonts w:hint="eastAsia" w:ascii="宋体" w:hAnsi="宋体"/>
          <w:b/>
          <w:bCs/>
          <w:color w:val="auto"/>
          <w:szCs w:val="21"/>
          <w:highlight w:val="none"/>
        </w:rPr>
      </w:pPr>
      <w:r>
        <w:rPr>
          <w:rFonts w:hint="eastAsia" w:ascii="宋体" w:hAnsi="宋体"/>
          <w:b/>
          <w:bCs/>
          <w:color w:val="auto"/>
          <w:szCs w:val="21"/>
          <w:highlight w:val="none"/>
        </w:rPr>
        <w:t xml:space="preserve">(六)设备配置要求：</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1.设备配备表中列明的配备数量为本项目的最低配置要求，养护单位可以根据自身情况增加配置。</w:t>
      </w:r>
      <w:r/>
    </w:p>
    <w:tbl>
      <w:tblPr>
        <w:tblStyle w:val="1092"/>
        <w:tblW w:w="4848" w:type="pct"/>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9"/>
        <w:gridCol w:w="2149"/>
        <w:gridCol w:w="4908"/>
      </w:tblGrid>
      <w:tr>
        <w:trPr>
          <w:trHeight w:val="20"/>
        </w:trPr>
        <w:tc>
          <w:tcPr>
            <w:tcBorders>
              <w:top w:val="single" w:color="auto" w:sz="4" w:space="0"/>
              <w:left w:val="single" w:color="auto" w:sz="4" w:space="0"/>
              <w:bottom w:val="single" w:color="auto" w:sz="4" w:space="0"/>
              <w:right w:val="single" w:color="auto" w:sz="4" w:space="0"/>
            </w:tcBorders>
            <w:tcW w:w="1082" w:type="pct"/>
            <w:vAlign w:val="center"/>
            <w:textDirection w:val="lrTb"/>
            <w:noWrap w:val="false"/>
          </w:tcPr>
          <w:p>
            <w:pPr>
              <w:pStyle w:val="1101"/>
              <w:ind w:firstLine="0"/>
              <w:jc w:val="center"/>
              <w:spacing w:line="46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设备名称</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pStyle w:val="1101"/>
              <w:ind w:firstLine="0"/>
              <w:jc w:val="center"/>
              <w:spacing w:line="46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最少配置数量</w:t>
            </w:r>
            <w:r/>
          </w:p>
        </w:tc>
        <w:tc>
          <w:tcPr>
            <w:tcBorders>
              <w:top w:val="single" w:color="auto" w:sz="4" w:space="0"/>
              <w:left w:val="single" w:color="auto" w:sz="4" w:space="0"/>
              <w:bottom w:val="single" w:color="auto" w:sz="4" w:space="0"/>
              <w:right w:val="single" w:color="auto" w:sz="4" w:space="0"/>
            </w:tcBorders>
            <w:tcW w:w="2724" w:type="pct"/>
            <w:vAlign w:val="center"/>
            <w:textDirection w:val="lrTb"/>
            <w:noWrap w:val="false"/>
          </w:tcPr>
          <w:p>
            <w:pPr>
              <w:pStyle w:val="1101"/>
              <w:ind w:firstLine="0"/>
              <w:spacing w:line="46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616"/>
        </w:trPr>
        <w:tc>
          <w:tcPr>
            <w:tcBorders>
              <w:top w:val="single" w:color="auto" w:sz="4" w:space="0"/>
              <w:left w:val="single" w:color="auto" w:sz="4" w:space="0"/>
              <w:bottom w:val="single" w:color="auto" w:sz="4" w:space="0"/>
              <w:right w:val="single" w:color="auto" w:sz="4" w:space="0"/>
            </w:tcBorders>
            <w:tcW w:w="1082" w:type="pct"/>
            <w:vAlign w:val="center"/>
            <w:textDirection w:val="lrTb"/>
            <w:noWrap w:val="false"/>
          </w:tcPr>
          <w:p>
            <w:pPr>
              <w:pStyle w:val="1101"/>
              <w:ind w:firstLine="0"/>
              <w:jc w:val="center"/>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机械打捞船</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pStyle w:val="1101"/>
              <w:ind w:firstLine="0"/>
              <w:jc w:val="center"/>
              <w:spacing w:line="460" w:lineRule="exact"/>
              <w:rPr>
                <w:rFonts w:hint="eastAsia" w:ascii="宋体" w:hAnsi="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2艘</w:t>
            </w:r>
            <w:r/>
          </w:p>
        </w:tc>
        <w:tc>
          <w:tcPr>
            <w:tcBorders>
              <w:top w:val="single" w:color="auto" w:sz="4" w:space="0"/>
              <w:left w:val="single" w:color="auto" w:sz="4" w:space="0"/>
              <w:right w:val="single" w:color="auto" w:sz="4" w:space="0"/>
            </w:tcBorders>
            <w:tcW w:w="2724" w:type="pct"/>
            <w:vAlign w:val="center"/>
            <w:vMerge w:val="restart"/>
            <w:textDirection w:val="lrTb"/>
            <w:noWrap w:val="false"/>
          </w:tcPr>
          <w:p>
            <w:pPr>
              <w:pStyle w:val="1101"/>
              <w:ind w:firstLine="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（1）吸藻车每辆要求总吨数≥8t；</w:t>
            </w:r>
            <w:r/>
          </w:p>
          <w:p>
            <w:pPr>
              <w:pStyle w:val="1101"/>
              <w:ind w:firstLine="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（2）机械打捞船要求总吨数≥5t；</w:t>
            </w:r>
            <w:r/>
          </w:p>
          <w:p>
            <w:pPr>
              <w:pStyle w:val="1101"/>
              <w:ind w:firstLine="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（3）藻水分离船要求总吨数≥4t；</w:t>
            </w:r>
            <w:r/>
          </w:p>
          <w:p>
            <w:pPr>
              <w:pStyle w:val="1101"/>
              <w:ind w:firstLine="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（4）船只、设备等保养费用包含在响应报价中。</w:t>
            </w:r>
            <w:r/>
          </w:p>
        </w:tc>
      </w:tr>
      <w:tr>
        <w:trPr>
          <w:trHeight w:val="616"/>
        </w:trPr>
        <w:tc>
          <w:tcPr>
            <w:tcBorders>
              <w:top w:val="single" w:color="auto" w:sz="4" w:space="0"/>
              <w:left w:val="single" w:color="auto" w:sz="4" w:space="0"/>
              <w:bottom w:val="single" w:color="auto" w:sz="4" w:space="0"/>
              <w:right w:val="single" w:color="auto" w:sz="4" w:space="0"/>
            </w:tcBorders>
            <w:tcW w:w="1082" w:type="pct"/>
            <w:vAlign w:val="center"/>
            <w:textDirection w:val="lrTb"/>
            <w:noWrap w:val="false"/>
          </w:tcPr>
          <w:p>
            <w:pPr>
              <w:pStyle w:val="1101"/>
              <w:ind w:firstLine="0"/>
              <w:jc w:val="center"/>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藻水分离船</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pStyle w:val="1101"/>
              <w:ind w:firstLine="0"/>
              <w:jc w:val="center"/>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1艘</w:t>
            </w:r>
            <w:r/>
          </w:p>
        </w:tc>
        <w:tc>
          <w:tcPr>
            <w:tcBorders>
              <w:left w:val="single" w:color="auto" w:sz="4" w:space="0"/>
              <w:right w:val="single" w:color="auto" w:sz="4" w:space="0"/>
            </w:tcBorders>
            <w:tcW w:w="2724" w:type="pct"/>
            <w:vAlign w:val="center"/>
            <w:vMerge w:val="continue"/>
            <w:textDirection w:val="lrTb"/>
            <w:noWrap w:val="false"/>
          </w:tcPr>
          <w:p>
            <w:pPr>
              <w:pStyle w:val="1101"/>
              <w:ind w:left="420" w:firstLine="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1082" w:type="pct"/>
            <w:vAlign w:val="center"/>
            <w:textDirection w:val="lrTb"/>
            <w:noWrap w:val="false"/>
          </w:tcPr>
          <w:p>
            <w:pPr>
              <w:pStyle w:val="1101"/>
              <w:ind w:firstLine="0"/>
              <w:jc w:val="center"/>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其它保洁船</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pStyle w:val="1101"/>
              <w:ind w:firstLine="0"/>
              <w:jc w:val="center"/>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5艘</w:t>
            </w:r>
            <w:r/>
          </w:p>
        </w:tc>
        <w:tc>
          <w:tcPr>
            <w:tcBorders>
              <w:left w:val="single" w:color="auto" w:sz="4" w:space="0"/>
              <w:right w:val="single" w:color="auto" w:sz="4" w:space="0"/>
            </w:tcBorders>
            <w:tcW w:w="2724" w:type="pct"/>
            <w:vAlign w:val="center"/>
            <w:vMerge w:val="continue"/>
            <w:textDirection w:val="lrTb"/>
            <w:noWrap w:val="false"/>
          </w:tcPr>
          <w:p>
            <w:pPr>
              <w:pStyle w:val="1101"/>
              <w:ind w:left="420" w:firstLine="420"/>
              <w:jc w:val="center"/>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50"/>
        </w:trPr>
        <w:tc>
          <w:tcPr>
            <w:tcBorders>
              <w:top w:val="single" w:color="auto" w:sz="4" w:space="0"/>
              <w:left w:val="single" w:color="auto" w:sz="4" w:space="0"/>
              <w:bottom w:val="single" w:color="auto" w:sz="4" w:space="0"/>
              <w:right w:val="single" w:color="auto" w:sz="4" w:space="0"/>
            </w:tcBorders>
            <w:tcW w:w="1082" w:type="pct"/>
            <w:vAlign w:val="center"/>
            <w:textDirection w:val="lrTb"/>
            <w:noWrap w:val="false"/>
          </w:tcPr>
          <w:p>
            <w:pPr>
              <w:pStyle w:val="1101"/>
              <w:ind w:firstLine="0"/>
              <w:jc w:val="center"/>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巡视（载货）车辆</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pStyle w:val="1101"/>
              <w:ind w:firstLine="0"/>
              <w:jc w:val="center"/>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1辆</w:t>
            </w:r>
            <w:r/>
          </w:p>
        </w:tc>
        <w:tc>
          <w:tcPr>
            <w:tcBorders>
              <w:left w:val="single" w:color="auto" w:sz="4" w:space="0"/>
              <w:right w:val="single" w:color="auto" w:sz="4" w:space="0"/>
            </w:tcBorders>
            <w:tcW w:w="2724" w:type="pct"/>
            <w:vAlign w:val="center"/>
            <w:vMerge w:val="continue"/>
            <w:textDirection w:val="lrTb"/>
            <w:noWrap w:val="false"/>
          </w:tcPr>
          <w:p>
            <w:pPr>
              <w:pStyle w:val="1101"/>
              <w:ind w:left="420" w:firstLine="420"/>
              <w:jc w:val="center"/>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40"/>
        </w:trPr>
        <w:tc>
          <w:tcPr>
            <w:tcBorders>
              <w:top w:val="single" w:color="auto" w:sz="4" w:space="0"/>
              <w:left w:val="single" w:color="auto" w:sz="4" w:space="0"/>
              <w:bottom w:val="single" w:color="auto" w:sz="4" w:space="0"/>
              <w:right w:val="single" w:color="auto" w:sz="4" w:space="0"/>
            </w:tcBorders>
            <w:tcW w:w="1082" w:type="pct"/>
            <w:vAlign w:val="center"/>
            <w:textDirection w:val="lrTb"/>
            <w:noWrap w:val="false"/>
          </w:tcPr>
          <w:p>
            <w:pPr>
              <w:pStyle w:val="1101"/>
              <w:ind w:firstLine="0"/>
              <w:jc w:val="center"/>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吸藻车</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pStyle w:val="1101"/>
              <w:ind w:firstLine="0"/>
              <w:jc w:val="center"/>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2辆</w:t>
            </w:r>
            <w:r/>
          </w:p>
        </w:tc>
        <w:tc>
          <w:tcPr>
            <w:tcBorders>
              <w:left w:val="single" w:color="auto" w:sz="4" w:space="0"/>
              <w:right w:val="single" w:color="auto" w:sz="4" w:space="0"/>
            </w:tcBorders>
            <w:tcW w:w="2724" w:type="pct"/>
            <w:vAlign w:val="center"/>
            <w:vMerge w:val="continue"/>
            <w:textDirection w:val="lrTb"/>
            <w:noWrap w:val="false"/>
          </w:tcPr>
          <w:p>
            <w:pPr>
              <w:pStyle w:val="1101"/>
              <w:ind w:left="420" w:firstLine="420"/>
              <w:jc w:val="center"/>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40"/>
        </w:trPr>
        <w:tc>
          <w:tcPr>
            <w:tcBorders>
              <w:top w:val="single" w:color="auto" w:sz="4" w:space="0"/>
              <w:left w:val="single" w:color="auto" w:sz="4" w:space="0"/>
              <w:right w:val="single" w:color="auto" w:sz="4" w:space="0"/>
            </w:tcBorders>
            <w:tcW w:w="1082" w:type="pct"/>
            <w:vAlign w:val="center"/>
            <w:textDirection w:val="lrTb"/>
            <w:noWrap w:val="false"/>
          </w:tcPr>
          <w:p>
            <w:pPr>
              <w:pStyle w:val="1101"/>
              <w:ind w:firstLine="0"/>
              <w:jc w:val="center"/>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无人机</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pStyle w:val="1101"/>
              <w:ind w:firstLine="0"/>
              <w:jc w:val="center"/>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1台</w:t>
            </w:r>
            <w:r/>
          </w:p>
        </w:tc>
        <w:tc>
          <w:tcPr>
            <w:tcBorders>
              <w:left w:val="single" w:color="auto" w:sz="4" w:space="0"/>
              <w:right w:val="single" w:color="auto" w:sz="4" w:space="0"/>
            </w:tcBorders>
            <w:tcW w:w="2724" w:type="pct"/>
            <w:vAlign w:val="center"/>
            <w:vMerge w:val="continue"/>
            <w:textDirection w:val="lrTb"/>
            <w:noWrap w:val="false"/>
          </w:tcPr>
          <w:p>
            <w:pPr>
              <w:pStyle w:val="1101"/>
              <w:ind w:left="420" w:firstLine="420"/>
              <w:jc w:val="center"/>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注：①磋商响应文件中以上船只为自有的，需提供船只的产权证复印件或船只购置发票复印件；磋商响应文件中提供以上船只为租赁的，需提供船只的租赁合同复印件，产权证明复印件或船只购置发票复印件，租赁结束日期不早于本项目服务结束日期；承诺成交后配置的，需提供承诺书加盖单位公章。</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②磋商响应文件中以上车辆为自有的，需提供车辆产权证复印件或车辆购置发票复印件、行驶证复印件，磋商响应文件中提供以上车辆为租赁的，需提供车辆租赁合同复印件，车辆行驶证复印件、产权证明复印件或车辆购置发票复印件，租赁结束日期不早于本项目服务结束日期；承诺成交后配置的，需提供承诺书加盖单位公章。</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③磋商响应文件提供除船只、车辆以外的设备为自有的，需提交设备购置发票复印件；磋商响应文件提供所需设备为租赁的，需提交设备租赁合同复印件，设备购置发票复印件，租赁结束日期不早于本项目服务结束日期；承诺成交后配置的，需提供承诺书加盖单位公章。</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④成交单位须在领取成交通知书7日内配置所有设备，否则甲方有权取消其成交资格。</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2.河面保洁船要及时养护，看管得当，其间的安全及维护等均由成交单位自行负责。</w:t>
      </w:r>
      <w:r/>
    </w:p>
    <w:p>
      <w:pPr>
        <w:ind w:firstLine="420"/>
        <w:jc w:val="left"/>
        <w:shd w:val="clear" w:color="ffffff" w:themeColor="background1" w:fill="ffffff" w:themeFill="background1"/>
        <w:widowControl/>
        <w:rPr>
          <w:rFonts w:hint="eastAsia" w:ascii="宋体" w:hAnsi="宋体"/>
          <w:b/>
          <w:bCs/>
          <w:color w:val="auto"/>
          <w:szCs w:val="21"/>
          <w:highlight w:val="none"/>
        </w:rPr>
      </w:pPr>
      <w:r>
        <w:rPr>
          <w:rFonts w:hint="eastAsia" w:ascii="宋体" w:hAnsi="宋体"/>
          <w:b/>
          <w:bCs/>
          <w:color w:val="auto"/>
          <w:szCs w:val="21"/>
          <w:highlight w:val="none"/>
        </w:rPr>
        <w:t xml:space="preserve">（七）两河两湖一体化联保共治标准、要求</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本项目内容包括河道管理范围内的陆域保洁、水域保洁、绿化养护、水生植物应急处置、保洁垃圾处置及其他保障等。</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管理养护具体标准参照《苏州市吴江区进一步加强河湖管护工作的通知》及《上海市河道维修养护技术规程》执行，主要内容与标准如下：</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水域保洁：河湖保持清洁，每5000平方米水面漂浮物控制在1平方米以下，无白色垃圾和动物尸体。水域保洁按照常态三天一次的频率开展，同时保洁垃圾应通过规范渠道及时清理处置。水葫芦、蓝藻爆发期间按照一天一次频率开展，并听从采购单位统一调度安排处置。</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陆域保洁：河湖管理范围做到清洁，无废弃物（垃圾）、吊挂物等。侧重河湖管理范围内的暴露垃圾清运。清扫垃圾应集中处理，做到当日垃圾当日清除。陆域保洁按照一天一次频率开展，确保河湖管理范围内无废弃物、堆积物、悬挂物，无杂草丛生现象，无二次污染点，同时垃圾应通过规范渠道及时清理处置。</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水生植物应急处置：在水葫芦、蓝藻等水生植物爆发期，应在相应口门（聚集区）设置拦截设施分段打捞、处置；添置（租借）自动化打捞船、控藻船等机械化设备进行打捞，提高养护精细化、机械化、智能化水平，河湖水体应确保无恶臭、无异色、无异味（适当委托有资质的第三方进行水质检测，数据作为养护支撑）。</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（4）垃圾清运、处置： 清扫、打捞的垃圾（水生植物）应集中按规范化要求及时清理处置，严禁就地焚烧、掩埋。成交后养护单位需与持有专业资质的清运处置单位签订合同，确保运输处置渠道正规化。</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（5）其他保障：针对特大事项的保障或紧急事件的应急处置，需无条件服从黎里镇人民政府、金泽镇人民政府相关职能单位人员的安排，确保工作有序开展，顺利进行。</w:t>
      </w:r>
      <w:r/>
    </w:p>
    <w:p>
      <w:pPr>
        <w:ind w:firstLine="420"/>
        <w:jc w:val="left"/>
        <w:shd w:val="clear" w:color="ffffff" w:themeColor="background1" w:fill="ffffff" w:themeFill="background1"/>
        <w:widowControl/>
        <w:rPr>
          <w:rFonts w:hint="eastAsia" w:ascii="宋体" w:hAnsi="宋体"/>
          <w:b/>
          <w:bCs/>
          <w:color w:val="auto"/>
          <w:szCs w:val="21"/>
          <w:highlight w:val="none"/>
        </w:rPr>
      </w:pPr>
      <w:r>
        <w:rPr>
          <w:rFonts w:hint="eastAsia" w:ascii="宋体" w:hAnsi="宋体"/>
          <w:b/>
          <w:bCs/>
          <w:color w:val="auto"/>
          <w:szCs w:val="21"/>
          <w:highlight w:val="none"/>
        </w:rPr>
        <w:t xml:space="preserve">（八）考核办法：</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
          <w:color w:val="auto"/>
          <w:szCs w:val="21"/>
          <w:highlight w:val="none"/>
        </w:rPr>
        <w:t xml:space="preserve">第一条</w:t>
      </w:r>
      <w:r>
        <w:rPr>
          <w:rFonts w:hint="eastAsia" w:ascii="宋体" w:hAnsi="宋体" w:cs="宋体"/>
          <w:bCs/>
          <w:color w:val="auto"/>
          <w:szCs w:val="21"/>
          <w:highlight w:val="none"/>
        </w:rPr>
        <w:t xml:space="preserve"> 由黎里镇人民政府、金泽镇人民政府相关人员组成两河两湖联合工作组，共同开展两河两湖日常管理养护工作考核工作等。</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
          <w:color w:val="auto"/>
          <w:szCs w:val="21"/>
          <w:highlight w:val="none"/>
        </w:rPr>
        <w:t xml:space="preserve">第二条</w:t>
      </w:r>
      <w:r>
        <w:rPr>
          <w:rFonts w:hint="eastAsia" w:ascii="宋体" w:hAnsi="宋体" w:cs="宋体"/>
          <w:bCs/>
          <w:color w:val="auto"/>
          <w:szCs w:val="21"/>
          <w:highlight w:val="none"/>
        </w:rPr>
        <w:t xml:space="preserve"> 考核对象为汾湖高新区两河两湖水面保洁成交单位。</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
          <w:color w:val="auto"/>
          <w:szCs w:val="21"/>
          <w:highlight w:val="none"/>
        </w:rPr>
        <w:t xml:space="preserve">第三条</w:t>
      </w:r>
      <w:r>
        <w:rPr>
          <w:rFonts w:hint="eastAsia" w:ascii="宋体" w:hAnsi="宋体" w:cs="宋体"/>
          <w:bCs/>
          <w:color w:val="auto"/>
          <w:szCs w:val="21"/>
          <w:highlight w:val="none"/>
        </w:rPr>
        <w:t xml:space="preserve"> 水域保洁、陆域保洁、河道（湖泊）设施巡查等养护标准，应严格执行《苏州市吴江区进一步加强河湖管护工作的通知》、《上海市河道养护定额》、《上海市河道维修养护技术规程》相关标准。</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
          <w:color w:val="auto"/>
          <w:szCs w:val="21"/>
          <w:highlight w:val="none"/>
        </w:rPr>
        <w:t xml:space="preserve">第四条</w:t>
      </w:r>
      <w:r>
        <w:rPr>
          <w:rFonts w:hint="eastAsia" w:ascii="宋体" w:hAnsi="宋体" w:cs="宋体"/>
          <w:bCs/>
          <w:color w:val="auto"/>
          <w:szCs w:val="21"/>
          <w:highlight w:val="none"/>
        </w:rPr>
        <w:t xml:space="preserve"> </w:t>
      </w:r>
      <w:r>
        <w:rPr>
          <w:rFonts w:hint="eastAsia" w:ascii="宋体" w:hAnsi="宋体" w:cs="宋体"/>
          <w:b w:val="0"/>
          <w:bCs/>
          <w:color w:val="auto"/>
          <w:szCs w:val="21"/>
          <w:highlight w:val="none"/>
        </w:rPr>
        <w:t xml:space="preserve">黎里镇、金泽镇人民政府（简称 “考核单位”）</w:t>
      </w:r>
      <w:r>
        <w:rPr>
          <w:rFonts w:hint="eastAsia" w:ascii="宋体" w:hAnsi="宋体" w:cs="宋体"/>
          <w:bCs/>
          <w:color w:val="auto"/>
          <w:szCs w:val="21"/>
          <w:highlight w:val="none"/>
        </w:rPr>
        <w:t xml:space="preserve">按照《水面保洁检查考核表》进行</w:t>
      </w:r>
      <w:r>
        <w:rPr>
          <w:rFonts w:hint="eastAsia" w:ascii="宋体" w:hAnsi="宋体" w:cs="宋体"/>
          <w:bCs/>
          <w:color w:val="auto"/>
          <w:szCs w:val="21"/>
          <w:highlight w:val="none"/>
          <w:lang w:val="en-US" w:eastAsia="zh-CN"/>
        </w:rPr>
        <w:t xml:space="preserve">考核</w:t>
      </w:r>
      <w:r>
        <w:rPr>
          <w:rFonts w:hint="eastAsia" w:ascii="宋体" w:hAnsi="宋体" w:cs="宋体"/>
          <w:bCs/>
          <w:color w:val="auto"/>
          <w:szCs w:val="21"/>
          <w:highlight w:val="none"/>
        </w:rPr>
        <w:t xml:space="preserve">，详细内容如下：</w:t>
      </w:r>
      <w:r/>
    </w:p>
    <w:tbl>
      <w:tblPr>
        <w:tblStyle w:val="110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394"/>
        <w:gridCol w:w="7085"/>
      </w:tblGrid>
      <w:tr>
        <w:trPr>
          <w:trHeight w:val="567"/>
        </w:trPr>
        <w:tc>
          <w:tcPr>
            <w:tcW w:w="780"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W w:w="1394"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检查内容</w:t>
            </w:r>
            <w:r/>
          </w:p>
        </w:tc>
        <w:tc>
          <w:tcPr>
            <w:tcW w:w="7085"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考核标准</w:t>
            </w:r>
            <w:r/>
          </w:p>
        </w:tc>
      </w:tr>
      <w:tr>
        <w:trPr>
          <w:trHeight w:val="567"/>
        </w:trPr>
        <w:tc>
          <w:tcPr>
            <w:tcW w:w="780"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1394"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水面保洁</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驳岸维护及绿化养护</w:t>
            </w:r>
            <w:r>
              <w:rPr>
                <w:rFonts w:hint="eastAsia" w:ascii="宋体" w:hAnsi="宋体"/>
                <w:color w:val="auto"/>
                <w:sz w:val="21"/>
                <w:szCs w:val="21"/>
                <w:highlight w:val="none"/>
              </w:rPr>
              <w:t xml:space="preserve">（60</w:t>
            </w:r>
            <w:r>
              <w:rPr>
                <w:rFonts w:ascii="宋体" w:hAnsi="宋体"/>
                <w:color w:val="auto"/>
                <w:sz w:val="21"/>
                <w:szCs w:val="21"/>
                <w:highlight w:val="none"/>
              </w:rPr>
              <w:t xml:space="preserve">）</w:t>
            </w:r>
            <w:r/>
          </w:p>
        </w:tc>
        <w:tc>
          <w:tcPr>
            <w:tcW w:w="7085" w:type="dxa"/>
            <w:vAlign w:val="center"/>
            <w:textDirection w:val="lrTb"/>
            <w:noWrap w:val="false"/>
          </w:tcPr>
          <w:p>
            <w:pPr>
              <w:spacing w:line="280" w:lineRule="exact"/>
              <w:rPr>
                <w:rFonts w:ascii="宋体" w:hAnsi="宋体"/>
                <w:color w:val="auto"/>
                <w:sz w:val="21"/>
                <w:szCs w:val="21"/>
                <w:highlight w:val="none"/>
              </w:rPr>
            </w:pPr>
            <w:r>
              <w:rPr>
                <w:rFonts w:hint="eastAsia" w:ascii="宋体" w:hAnsi="宋体"/>
                <w:color w:val="auto"/>
                <w:sz w:val="21"/>
                <w:szCs w:val="21"/>
                <w:highlight w:val="none"/>
              </w:rPr>
              <w:t xml:space="preserve">1、水面保洁作业人员</w:t>
            </w:r>
            <w:r>
              <w:rPr>
                <w:rFonts w:hint="eastAsia" w:ascii="宋体" w:hAnsi="宋体"/>
                <w:color w:val="auto"/>
                <w:sz w:val="21"/>
                <w:szCs w:val="21"/>
                <w:highlight w:val="none"/>
                <w:lang w:val="en-US" w:eastAsia="zh-CN"/>
              </w:rPr>
              <w:t xml:space="preserve">符合规定要求</w:t>
            </w:r>
            <w:r>
              <w:rPr>
                <w:rFonts w:hint="eastAsia" w:ascii="宋体" w:hAnsi="宋体"/>
                <w:color w:val="auto"/>
                <w:sz w:val="21"/>
                <w:szCs w:val="21"/>
                <w:highlight w:val="none"/>
              </w:rPr>
              <w:t xml:space="preserve">，否则扣2分。</w:t>
            </w:r>
            <w:r/>
          </w:p>
          <w:p>
            <w:pPr>
              <w:spacing w:line="280" w:lineRule="exact"/>
              <w:rPr>
                <w:rFonts w:ascii="宋体" w:hAnsi="宋体"/>
                <w:color w:val="auto"/>
                <w:sz w:val="21"/>
                <w:szCs w:val="21"/>
                <w:highlight w:val="none"/>
              </w:rPr>
            </w:pPr>
            <w:r>
              <w:rPr>
                <w:rFonts w:hint="eastAsia" w:ascii="宋体" w:hAnsi="宋体"/>
                <w:color w:val="auto"/>
                <w:sz w:val="21"/>
                <w:szCs w:val="21"/>
                <w:highlight w:val="none"/>
              </w:rPr>
              <w:t xml:space="preserve">2、打捞船只作业时不得停靠在主航道作业，否则扣2分。</w:t>
            </w:r>
            <w:r/>
          </w:p>
          <w:p>
            <w:pPr>
              <w:spacing w:line="280" w:lineRule="exact"/>
              <w:rPr>
                <w:rFonts w:ascii="宋体" w:hAnsi="宋体"/>
                <w:color w:val="auto"/>
                <w:sz w:val="21"/>
                <w:szCs w:val="21"/>
                <w:highlight w:val="none"/>
              </w:rPr>
            </w:pPr>
            <w:r>
              <w:rPr>
                <w:rFonts w:hint="eastAsia" w:ascii="宋体" w:hAnsi="宋体"/>
                <w:color w:val="auto"/>
                <w:sz w:val="21"/>
                <w:szCs w:val="21"/>
                <w:highlight w:val="none"/>
              </w:rPr>
              <w:t xml:space="preserve">3、做好当天作业情况登记，否则扣1分。</w:t>
            </w:r>
            <w:r/>
          </w:p>
          <w:p>
            <w:pPr>
              <w:spacing w:line="28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eastAsia="宋体" w:cs="宋体"/>
                <w:color w:val="auto"/>
                <w:sz w:val="21"/>
                <w:szCs w:val="21"/>
                <w:highlight w:val="none"/>
              </w:rPr>
              <w:t xml:space="preserve">检查时水面或岸坡有蓝藻、水生植物【水草、水葫芦、福寿螺等】、漂浮垃圾等每处扣5分</w:t>
            </w:r>
            <w:r>
              <w:rPr>
                <w:rFonts w:hint="eastAsia" w:ascii="宋体" w:hAnsi="宋体"/>
                <w:color w:val="auto"/>
                <w:sz w:val="21"/>
                <w:szCs w:val="21"/>
                <w:highlight w:val="none"/>
              </w:rPr>
              <w:t xml:space="preserve">。</w:t>
            </w:r>
            <w:r/>
          </w:p>
          <w:p>
            <w:pPr>
              <w:spacing w:line="2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eastAsia="宋体" w:cs="宋体"/>
                <w:color w:val="auto"/>
                <w:sz w:val="21"/>
                <w:szCs w:val="21"/>
                <w:highlight w:val="none"/>
              </w:rPr>
              <w:t xml:space="preserve">突发环境卫生事件（水面有大量飘浮垃圾、蓝藻及水生植物【水草、水葫芦、福寿螺等】）通知作业单位半小时内须有作业船只、人员到位清捞处理，否则每次扣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0分</w:t>
            </w:r>
            <w:r>
              <w:rPr>
                <w:rFonts w:hint="eastAsia" w:ascii="宋体" w:hAnsi="宋体"/>
                <w:color w:val="auto"/>
                <w:sz w:val="21"/>
                <w:szCs w:val="21"/>
                <w:highlight w:val="none"/>
              </w:rPr>
              <w:t xml:space="preserve">。</w:t>
            </w:r>
            <w:r/>
          </w:p>
          <w:p>
            <w:pPr>
              <w:spacing w:line="2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6、驳岸维护不到位一处扣1分。</w:t>
            </w:r>
            <w:r/>
          </w:p>
          <w:p>
            <w:pPr>
              <w:spacing w:line="28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7、绿化养护不到位（发现枯枝、未及时修整等情况）一处扣1分。</w:t>
            </w:r>
            <w:r/>
          </w:p>
        </w:tc>
      </w:tr>
      <w:tr>
        <w:trPr>
          <w:trHeight w:val="567"/>
        </w:trPr>
        <w:tc>
          <w:tcPr>
            <w:tcW w:w="780"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1394"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漂浮垃圾  收集清运（30）</w:t>
            </w:r>
            <w:r/>
          </w:p>
        </w:tc>
        <w:tc>
          <w:tcPr>
            <w:tcW w:w="7085" w:type="dxa"/>
            <w:vAlign w:val="center"/>
            <w:textDirection w:val="lrTb"/>
            <w:noWrap w:val="false"/>
          </w:tcPr>
          <w:p>
            <w:pPr>
              <w:spacing w:line="280"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eastAsia="宋体" w:cs="宋体"/>
                <w:color w:val="auto"/>
                <w:sz w:val="21"/>
                <w:szCs w:val="21"/>
                <w:highlight w:val="none"/>
              </w:rPr>
              <w:t xml:space="preserve">作业中将水面上漂浮物（包括蓝藻、水生植物【水草、水葫芦、福寿螺等】、垃圾、其他垃圾打捞等）乱扔岸边或岸上，每次扣5分</w:t>
            </w:r>
            <w:r>
              <w:rPr>
                <w:rFonts w:hint="eastAsia" w:ascii="宋体" w:hAnsi="宋体"/>
                <w:color w:val="auto"/>
                <w:sz w:val="21"/>
                <w:szCs w:val="21"/>
                <w:highlight w:val="none"/>
              </w:rPr>
              <w:t xml:space="preserve">。</w:t>
            </w:r>
            <w:r/>
          </w:p>
          <w:p>
            <w:pPr>
              <w:spacing w:line="280" w:lineRule="exact"/>
              <w:rPr>
                <w:rFonts w:ascii="宋体" w:hAnsi="宋体"/>
                <w:color w:val="auto"/>
                <w:sz w:val="21"/>
                <w:szCs w:val="21"/>
                <w:highlight w:val="none"/>
              </w:rPr>
            </w:pPr>
            <w:r>
              <w:rPr>
                <w:rFonts w:hint="eastAsia" w:ascii="宋体" w:hAnsi="宋体"/>
                <w:color w:val="auto"/>
                <w:sz w:val="21"/>
                <w:szCs w:val="21"/>
                <w:highlight w:val="none"/>
              </w:rPr>
              <w:t xml:space="preserve">2、作业时不穿着反光保护服装，每人扣1分。</w:t>
            </w:r>
            <w:r/>
          </w:p>
          <w:p>
            <w:pPr>
              <w:spacing w:line="280" w:lineRule="exact"/>
              <w:rPr>
                <w:rFonts w:ascii="宋体" w:hAnsi="宋体"/>
                <w:color w:val="auto"/>
                <w:sz w:val="21"/>
                <w:szCs w:val="21"/>
                <w:highlight w:val="none"/>
              </w:rPr>
            </w:pPr>
            <w:r>
              <w:rPr>
                <w:rFonts w:hint="eastAsia" w:ascii="宋体" w:hAnsi="宋体"/>
                <w:color w:val="auto"/>
                <w:sz w:val="21"/>
                <w:szCs w:val="21"/>
                <w:highlight w:val="none"/>
              </w:rPr>
              <w:t xml:space="preserve">3、船容船貌不整洁，有吊挂垃圾，每船次扣1分。</w:t>
            </w:r>
            <w:r/>
          </w:p>
          <w:p>
            <w:pPr>
              <w:spacing w:line="280" w:lineRule="exact"/>
              <w:rPr>
                <w:rFonts w:ascii="宋体" w:hAnsi="宋体"/>
                <w:color w:val="auto"/>
                <w:sz w:val="21"/>
                <w:szCs w:val="21"/>
                <w:highlight w:val="none"/>
              </w:rPr>
            </w:pPr>
            <w:r>
              <w:rPr>
                <w:rFonts w:hint="eastAsia" w:ascii="宋体" w:hAnsi="宋体"/>
                <w:color w:val="auto"/>
                <w:sz w:val="21"/>
                <w:szCs w:val="21"/>
                <w:highlight w:val="none"/>
              </w:rPr>
              <w:t xml:space="preserve">4、垃圾运输车辆超载、不严密盖网、扬撒垃圾、滴漏污物，每车次扣2分。</w:t>
            </w:r>
            <w:r/>
          </w:p>
          <w:p>
            <w:pPr>
              <w:spacing w:line="28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en-US" w:eastAsia="zh-CN"/>
              </w:rPr>
              <w:t xml:space="preserve">未由第三方运输处置，</w:t>
            </w:r>
            <w:r>
              <w:rPr>
                <w:rFonts w:hint="eastAsia" w:ascii="宋体" w:hAnsi="宋体"/>
                <w:color w:val="auto"/>
                <w:sz w:val="21"/>
                <w:szCs w:val="21"/>
                <w:highlight w:val="none"/>
              </w:rPr>
              <w:t xml:space="preserve">而到处乱倒、乱卸、乱抛垃圾等，每次扣5分。</w:t>
            </w:r>
            <w:r/>
          </w:p>
          <w:p>
            <w:pPr>
              <w:spacing w:line="280" w:lineRule="exact"/>
              <w:rPr>
                <w:rFonts w:ascii="宋体" w:hAnsi="宋体"/>
                <w:color w:val="auto"/>
                <w:sz w:val="21"/>
                <w:szCs w:val="21"/>
                <w:highlight w:val="none"/>
              </w:rPr>
            </w:pPr>
            <w:r>
              <w:rPr>
                <w:rFonts w:hint="eastAsia" w:ascii="宋体" w:hAnsi="宋体"/>
                <w:color w:val="auto"/>
                <w:sz w:val="21"/>
                <w:szCs w:val="21"/>
                <w:highlight w:val="none"/>
              </w:rPr>
              <w:t xml:space="preserve">6、服务态度、质量差，被投诉经查属实，每次扣1分。</w:t>
            </w:r>
            <w:r/>
          </w:p>
        </w:tc>
      </w:tr>
      <w:tr>
        <w:trPr>
          <w:trHeight w:val="567"/>
        </w:trPr>
        <w:tc>
          <w:tcPr>
            <w:tcW w:w="780"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394"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安全生产  管理    （10）</w:t>
            </w:r>
            <w:r/>
          </w:p>
        </w:tc>
        <w:tc>
          <w:tcPr>
            <w:tcW w:w="7085" w:type="dxa"/>
            <w:vAlign w:val="center"/>
            <w:textDirection w:val="lrTb"/>
            <w:noWrap w:val="false"/>
          </w:tcPr>
          <w:p>
            <w:pPr>
              <w:spacing w:line="2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、成交单位应建立、健全各项安全管理制度和保洁作业机械安全操作规程，作业过程安全管理应符合国家现行的有关规定，否则扣3分。</w:t>
            </w:r>
            <w:r/>
          </w:p>
          <w:p>
            <w:pPr>
              <w:spacing w:line="2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、不遵守安全操作规程和操作技术规范，每次扣2分。</w:t>
            </w:r>
            <w:r/>
          </w:p>
          <w:p>
            <w:pPr>
              <w:spacing w:line="2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、机械设备过期不审验仍继续使用的每台次扣2分，不及时维修保养或不合理使用打捞船，每台次扣2分。</w:t>
            </w:r>
            <w:r/>
          </w:p>
          <w:p>
            <w:pPr>
              <w:spacing w:line="2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w:t>
            </w:r>
            <w:r>
              <w:rPr>
                <w:rFonts w:hint="eastAsia" w:ascii="宋体" w:hAnsi="宋体" w:eastAsia="宋体" w:cs="宋体"/>
                <w:color w:val="auto"/>
                <w:sz w:val="21"/>
                <w:szCs w:val="21"/>
                <w:highlight w:val="none"/>
              </w:rPr>
              <w:t xml:space="preserve">蓝藻、水生植物【水草、水葫芦、福寿螺等】处理场应防火、防风等措施，否则扣5分</w:t>
            </w:r>
            <w:r>
              <w:rPr>
                <w:rFonts w:hint="eastAsia" w:ascii="宋体" w:hAnsi="宋体"/>
                <w:color w:val="auto"/>
                <w:sz w:val="21"/>
                <w:szCs w:val="21"/>
                <w:highlight w:val="none"/>
              </w:rPr>
              <w:t xml:space="preserve">。</w:t>
            </w:r>
            <w:r/>
          </w:p>
          <w:p>
            <w:pPr>
              <w:spacing w:line="2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、保洁作业船内应配备必要的防护救生用品，并存放在显眼位置，否则每船次扣2分。</w:t>
            </w:r>
            <w:r/>
          </w:p>
          <w:p>
            <w:pPr>
              <w:spacing w:line="2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、保洁作业人员必须穿救生衣作业，否则每人次扣2分。</w:t>
            </w:r>
            <w:r/>
          </w:p>
          <w:p>
            <w:pPr>
              <w:spacing w:line="2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、因人为因素造成事故的，视事故大小扣5-10分。</w:t>
            </w:r>
            <w:r/>
          </w:p>
          <w:p>
            <w:pPr>
              <w:spacing w:line="280" w:lineRule="exact"/>
              <w:rPr>
                <w:rFonts w:ascii="宋体" w:hAnsi="宋体"/>
                <w:color w:val="auto"/>
                <w:sz w:val="21"/>
                <w:szCs w:val="21"/>
                <w:highlight w:val="none"/>
              </w:rPr>
            </w:pPr>
            <w:r>
              <w:rPr>
                <w:rFonts w:ascii="宋体" w:hAnsi="宋体"/>
                <w:color w:val="auto"/>
                <w:sz w:val="21"/>
                <w:szCs w:val="21"/>
                <w:highlight w:val="none"/>
              </w:rPr>
            </w:r>
            <w:r/>
          </w:p>
        </w:tc>
      </w:tr>
    </w:tbl>
    <w:p>
      <w:pPr>
        <w:ind w:firstLine="420"/>
        <w:jc w:val="left"/>
        <w:shd w:val="clear" w:color="ffffff" w:themeColor="background1" w:fill="ffffff" w:themeFill="background1"/>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第五条 考核方式与计分规则</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考核实行百分制，由黎里镇、金泽镇人民政府（简称 “考核单位”）每月对中标单位的保洁质量开展月度考核，每次考核按总分100分标准执行，考核结果作为年度考核基数经费核算的核心依据。</w:t>
      </w:r>
      <w:r/>
    </w:p>
    <w:p>
      <w:pPr>
        <w:ind w:firstLine="420"/>
        <w:jc w:val="left"/>
        <w:shd w:val="clear" w:color="ffffff" w:themeColor="background1" w:fill="ffffff" w:themeFill="background1"/>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第六条 考核结果应用</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一</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养护经费核算与拨付</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 经费划分：项目养护资金总额分为两部分，其中65%为非考核挂钩经费，35%为考核挂钩基数经费（以下简称“考核基数”），考核基数总额=项目养护资金总额×35%。</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 拨付原则：</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（1）非考核挂钩经费（65%）：当年度按合同约定的进度节点支付，累计支付至资金总额的 65%；</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w:t>
      </w:r>
      <w:bookmarkStart w:id="37" w:name="OLE_LINK8"/>
      <w:r>
        <w:rPr>
          <w:rFonts w:hint="eastAsia" w:ascii="宋体" w:hAnsi="宋体" w:cs="宋体"/>
          <w:b w:val="0"/>
          <w:bCs/>
          <w:color w:val="auto"/>
          <w:szCs w:val="21"/>
          <w:highlight w:val="none"/>
        </w:rPr>
        <w:t xml:space="preserve">考核挂钩基数经费（35%）：作为年度考核结算经费，待当年度所有月度考核完成后，按“考核基数经费=考核基数总额-全年累计扣减金额”的规则核算后，完成拨付。</w:t>
      </w:r>
      <w:bookmarkEnd w:id="37"/>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 全年累计扣减金额核算规则：</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（1）单月扣减金额计算标准：单月扣减金额=（考核基数总额÷12）×当月扣减比例；</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（2）单月扣减比例对应规则：</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单月考核得分 90 分（含）以上：该月扣减比例 0%；</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单月考核得分 80 分（含）至 89 分：该月扣减比例 10%；</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单月考核得分 70 分（含）至 79 分：该月扣减比例 20%；</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单月考核得分 60 分（含）至 69 分：该月扣减比例 30%；</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单月考核得分低于 60 分：该月扣减比例 100%；</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（3）全年累计扣减金额=各月扣减金额之和（注：全年累计扣减金额最高不超过考核基数总额）。</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二</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合同解除情形</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中标单位连续三次月度考核得分低于60分的，采购单位有权无条件解除本项目合同，由此产生的一切损失由中标单位自行承担，采购单位不承担任何赔偿责任。</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三</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淘汰机制</w:t>
      </w:r>
      <w:r/>
    </w:p>
    <w:p>
      <w:pPr>
        <w:ind w:firstLine="420"/>
        <w:jc w:val="lef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年度内累计四次月度考核得分低于60分的，视为年度考核不合格；年度考核不合格或因本条款第二款情形被解除合同的养护单位，实行行业淘汰制，自结果确定之日起，不得参与本项目及黎里镇、金泽镇辖区内同类河湖保洁养护项目的招投标工作。</w:t>
      </w:r>
      <w:r/>
    </w:p>
    <w:p>
      <w:pPr>
        <w:ind w:firstLine="420"/>
        <w:jc w:val="left"/>
        <w:shd w:val="clear" w:color="ffffff" w:themeColor="background1" w:fill="ffffff" w:themeFill="background1"/>
        <w:widowControl/>
        <w:rPr>
          <w:rFonts w:hint="eastAsia" w:ascii="宋体" w:hAnsi="宋体" w:cs="宋体"/>
          <w:bCs/>
          <w:color w:val="auto"/>
          <w:szCs w:val="21"/>
          <w:highlight w:val="none"/>
        </w:rPr>
      </w:pPr>
      <w:r>
        <w:rPr>
          <w:rFonts w:hint="eastAsia" w:ascii="宋体" w:hAnsi="宋体" w:cs="宋体"/>
          <w:b/>
          <w:color w:val="auto"/>
          <w:szCs w:val="21"/>
          <w:highlight w:val="none"/>
        </w:rPr>
        <w:t xml:space="preserve">第七条  </w:t>
      </w:r>
      <w:r>
        <w:rPr>
          <w:rFonts w:hint="eastAsia" w:ascii="宋体" w:hAnsi="宋体" w:cs="宋体"/>
          <w:bCs/>
          <w:color w:val="auto"/>
          <w:szCs w:val="21"/>
          <w:highlight w:val="none"/>
        </w:rPr>
        <w:t xml:space="preserve">本办法由金泽镇人民政府、黎里镇人民政府该项目管理部门负责解释，自2025年1月1日起执行。本考核办法实时更新后，以最新考核办法为准。</w:t>
      </w:r>
      <w:r/>
    </w:p>
    <w:p>
      <w:pPr>
        <w:ind w:firstLine="420"/>
        <w:jc w:val="left"/>
        <w:shd w:val="clear" w:color="ffffff" w:themeColor="background1" w:fill="ffffff" w:themeFill="background1"/>
        <w:widowControl/>
        <w:rPr>
          <w:rFonts w:hint="eastAsia" w:ascii="宋体" w:hAnsi="宋体"/>
          <w:b/>
          <w:bCs/>
          <w:color w:val="auto"/>
          <w:szCs w:val="21"/>
          <w:highlight w:val="none"/>
        </w:rPr>
      </w:pPr>
      <w:r>
        <w:rPr>
          <w:rFonts w:hint="eastAsia" w:ascii="宋体" w:hAnsi="宋体"/>
          <w:b/>
          <w:bCs/>
          <w:color w:val="auto"/>
          <w:szCs w:val="21"/>
          <w:highlight w:val="none"/>
        </w:rPr>
        <w:t xml:space="preserve">（六）商务要求：</w:t>
      </w:r>
      <w:r/>
    </w:p>
    <w:p>
      <w:pPr>
        <w:ind w:firstLine="420"/>
        <w:jc w:val="left"/>
        <w:shd w:val="clear" w:color="ffffff" w:themeColor="background1" w:fill="ffffff" w:themeFill="background1"/>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1.合同履行期限：</w:t>
      </w:r>
      <w:r>
        <w:rPr>
          <w:rFonts w:hint="eastAsia" w:ascii="宋体" w:hAnsi="宋体" w:cs="宋体"/>
          <w:b w:val="0"/>
          <w:bCs/>
          <w:color w:val="auto"/>
          <w:szCs w:val="21"/>
          <w:highlight w:val="none"/>
        </w:rPr>
        <w:t xml:space="preserve">壹年</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具体起止日期以合同上签订的为准。</w:t>
      </w:r>
      <w:r>
        <w:rPr>
          <w:rFonts w:hint="eastAsia" w:ascii="宋体" w:hAnsi="宋体" w:cs="宋体"/>
          <w:b w:val="0"/>
          <w:bCs/>
          <w:color w:val="auto"/>
          <w:szCs w:val="21"/>
          <w:highlight w:val="none"/>
        </w:rPr>
        <w:t xml:space="preserve">  </w:t>
      </w:r>
      <w:r/>
    </w:p>
    <w:p>
      <w:pPr>
        <w:ind w:firstLine="420"/>
        <w:jc w:val="left"/>
        <w:shd w:val="clear" w:color="ffffff" w:themeColor="background1" w:fill="ffffff" w:themeFill="background1"/>
        <w:widowControl/>
        <w:rPr>
          <w:rFonts w:hint="default" w:ascii="宋体" w:hAnsi="宋体" w:eastAsia="宋体" w:cs="宋体"/>
          <w:b w:val="0"/>
          <w:bCs/>
          <w:color w:val="auto"/>
          <w:szCs w:val="21"/>
          <w:highlight w:val="none"/>
          <w:lang w:val="en-US" w:eastAsia="zh-CN"/>
        </w:rPr>
      </w:pPr>
      <w:r>
        <w:rPr>
          <w:rFonts w:hint="eastAsia" w:ascii="宋体" w:hAnsi="宋体" w:cs="宋体"/>
          <w:b/>
          <w:color w:val="auto"/>
          <w:szCs w:val="21"/>
          <w:highlight w:val="none"/>
        </w:rPr>
        <w:t xml:space="preserve">2.付款方式：</w:t>
      </w:r>
      <w:r>
        <w:rPr>
          <w:rFonts w:hint="eastAsia" w:ascii="宋体" w:hAnsi="宋体" w:cs="宋体"/>
          <w:b w:val="0"/>
          <w:bCs/>
          <w:color w:val="auto"/>
          <w:szCs w:val="21"/>
          <w:highlight w:val="none"/>
        </w:rPr>
        <w:t xml:space="preserve">每半年度结算一次保洁费用</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付款节点以合同上签订的服务起始之日起计算。</w:t>
      </w:r>
      <w:r/>
    </w:p>
    <w:p>
      <w:pPr>
        <w:ind w:firstLine="420"/>
        <w:jc w:val="left"/>
        <w:shd w:val="clear" w:color="ffffff" w:themeColor="background1" w:fill="ffffff" w:themeFill="background1"/>
        <w:widowControl/>
        <w:rPr>
          <w:rFonts w:hint="default"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每次结算金额=(合同总金额*65%)/2；合同总金额剩余的35%作为考核经费待当年度所有月度考核完成后，按考核规则核算后3个月内完成拨付。</w:t>
      </w:r>
      <w:r/>
    </w:p>
    <w:p>
      <w:pPr>
        <w:ind w:firstLine="420"/>
        <w:jc w:val="left"/>
        <w:shd w:val="clear" w:color="ffffff" w:themeColor="background1" w:fill="ffffff" w:themeFill="background1"/>
        <w:widowControl/>
        <w:rPr>
          <w:rFonts w:hint="eastAsia" w:ascii="宋体" w:hAnsi="宋体" w:eastAsia="宋体" w:cs="宋体"/>
          <w:bCs/>
          <w:color w:val="auto"/>
          <w:szCs w:val="21"/>
          <w:highlight w:val="none"/>
          <w:lang w:eastAsia="zh-CN"/>
        </w:rPr>
      </w:pPr>
      <w:r>
        <w:rPr>
          <w:rFonts w:hint="eastAsia" w:ascii="宋体" w:hAnsi="宋体" w:cs="宋体"/>
          <w:b/>
          <w:color w:val="auto"/>
          <w:szCs w:val="21"/>
          <w:highlight w:val="none"/>
        </w:rPr>
        <w:t xml:space="preserve">3.</w:t>
      </w:r>
      <w:r>
        <w:rPr>
          <w:rFonts w:hint="eastAsia" w:ascii="宋体" w:hAnsi="宋体" w:cs="宋体"/>
          <w:b/>
          <w:bCs w:val="0"/>
          <w:color w:val="auto"/>
          <w:szCs w:val="21"/>
          <w:highlight w:val="none"/>
        </w:rPr>
        <w:t xml:space="preserve">检查和考核的时间、标准：</w:t>
      </w:r>
      <w:r>
        <w:rPr>
          <w:rFonts w:hint="eastAsia" w:ascii="宋体" w:hAnsi="宋体" w:cs="宋体"/>
          <w:bCs/>
          <w:color w:val="auto"/>
          <w:szCs w:val="21"/>
          <w:highlight w:val="none"/>
          <w:lang w:val="en-US" w:eastAsia="zh-CN"/>
        </w:rPr>
        <w:t xml:space="preserve">详见</w:t>
      </w:r>
      <w:r>
        <w:rPr>
          <w:rFonts w:hint="eastAsia" w:ascii="宋体" w:hAnsi="宋体" w:cs="宋体"/>
          <w:bCs/>
          <w:color w:val="auto"/>
          <w:szCs w:val="21"/>
          <w:highlight w:val="none"/>
        </w:rPr>
        <w:t xml:space="preserve">水面保洁检查考核表</w:t>
      </w:r>
      <w:r>
        <w:rPr>
          <w:rFonts w:hint="eastAsia" w:ascii="宋体" w:hAnsi="宋体" w:cs="宋体"/>
          <w:bCs/>
          <w:color w:val="auto"/>
          <w:szCs w:val="21"/>
          <w:highlight w:val="none"/>
          <w:lang w:eastAsia="zh-CN"/>
        </w:rPr>
        <w:t xml:space="preserve">。</w:t>
      </w:r>
      <w:bookmarkEnd w:id="34"/>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六、综合说明：</w:t>
      </w:r>
      <w:r/>
    </w:p>
    <w:p>
      <w:pPr>
        <w:numPr>
          <w:ilvl w:val="0"/>
          <w:numId w:val="1"/>
        </w:numPr>
        <w:rPr>
          <w:rFonts w:hint="eastAsia" w:ascii="宋体" w:hAnsi="宋体" w:cs="宋体"/>
          <w:color w:val="auto"/>
          <w:szCs w:val="21"/>
          <w:highlight w:val="none"/>
        </w:rPr>
      </w:pPr>
      <w:r>
        <w:rPr>
          <w:rFonts w:hint="eastAsia" w:ascii="宋体" w:hAnsi="宋体" w:cs="宋体"/>
          <w:color w:val="auto"/>
          <w:szCs w:val="21"/>
          <w:highlight w:val="none"/>
        </w:rPr>
        <w:t xml:space="preserve">投标人按照招标文件的要求提交投标文件，并对所提供的全部资料的真实性承担法律责任。</w:t>
      </w:r>
      <w:r/>
    </w:p>
    <w:p>
      <w:pPr>
        <w:numPr>
          <w:ilvl w:val="0"/>
          <w:numId w:val="1"/>
        </w:numPr>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对《磋商响应报价分析表》中的全部服务的报价应包括完成本项工作所需的人工费【包括人员工资（当地政府或行业行政主管部门及以上政府或部门出台新的规定，要求提高服务人员待遇的，成交单位必须执行）、加班费、福利费、奖金、社保（非超龄人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人身意外伤害险等，具体按照采购文件的规定】以及从事服务的相关工具、设备使用费以及在从事该劳动过程中发生的一切费用，报价中还包括耗材、劳保、各种税费、政策性文件规定及合同包含的所有风险、责任等各项应有费用。</w:t>
      </w:r>
      <w:r/>
    </w:p>
    <w:p>
      <w:pPr>
        <w:numPr>
          <w:ilvl w:val="0"/>
          <w:numId w:val="1"/>
        </w:numPr>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在报价时还应考虑各种风险因素，相关风险因素费用包含在响应总价中。风险因素包括最低工资标准提高、遇重大活动、检查、突发情况、物价调整、税费调整等。除非合同条款中另有规定，否则，磋商响应单位所报价格在合同实施期间不因各种风险因素而变动。</w:t>
      </w:r>
      <w:r/>
    </w:p>
    <w:p>
      <w:pPr>
        <w:numPr>
          <w:ilvl w:val="0"/>
          <w:numId w:val="1"/>
        </w:numPr>
        <w:rPr>
          <w:rFonts w:hint="eastAsia" w:ascii="宋体" w:hAnsi="宋体" w:cs="宋体"/>
          <w:color w:val="auto"/>
          <w:szCs w:val="21"/>
          <w:highlight w:val="none"/>
        </w:rPr>
      </w:pPr>
      <w:r>
        <w:rPr>
          <w:rFonts w:hint="eastAsia" w:ascii="宋体" w:hAnsi="宋体" w:cs="宋体"/>
          <w:color w:val="auto"/>
          <w:szCs w:val="21"/>
          <w:highlight w:val="none"/>
        </w:rPr>
        <w:t xml:space="preserve">当地政府或行业行政主管部门及以上政府或部门出台新的规定，要求提高服务人员待遇的，成交单位必须执行，资金由成交单位自行承担，采购人不予补贴。  </w:t>
      </w:r>
      <w:r/>
    </w:p>
    <w:p>
      <w:pPr>
        <w:numPr>
          <w:ilvl w:val="0"/>
          <w:numId w:val="1"/>
        </w:numPr>
        <w:rPr>
          <w:rFonts w:hint="eastAsia" w:ascii="宋体" w:hAnsi="宋体" w:cs="宋体"/>
          <w:color w:val="auto"/>
          <w:szCs w:val="21"/>
          <w:highlight w:val="none"/>
        </w:rPr>
      </w:pPr>
      <w:r>
        <w:rPr>
          <w:rFonts w:hint="eastAsia" w:ascii="宋体" w:hAnsi="宋体" w:cs="宋体"/>
          <w:color w:val="auto"/>
          <w:szCs w:val="21"/>
          <w:highlight w:val="none"/>
        </w:rPr>
        <w:t xml:space="preserve">服务单位必须承诺采购文件中提出的全部服务要求；如果以其中某些条款不响应时，应在文件中逐条列出，未列出的视同响应。</w:t>
      </w:r>
      <w:r/>
    </w:p>
    <w:p>
      <w:pPr>
        <w:numPr>
          <w:ilvl w:val="0"/>
          <w:numId w:val="1"/>
        </w:numPr>
        <w:rPr>
          <w:rFonts w:hint="eastAsia" w:ascii="宋体" w:hAnsi="宋体" w:cs="宋体"/>
          <w:color w:val="auto"/>
          <w:szCs w:val="21"/>
          <w:highlight w:val="none"/>
        </w:rPr>
      </w:pPr>
      <w:r>
        <w:rPr>
          <w:rFonts w:hint="eastAsia" w:ascii="宋体" w:hAnsi="宋体" w:cs="宋体"/>
          <w:color w:val="auto"/>
          <w:szCs w:val="21"/>
          <w:highlight w:val="none"/>
        </w:rPr>
        <w:t xml:space="preserve">成交单位工作人员在岗履行职责期间（包括上下班途中），发生自身的人身伤害、伤亡，均由成交单位负责处理并承担经济和道义上的责任，采购单位不承担任何责任。</w:t>
      </w:r>
      <w:r/>
    </w:p>
    <w:p>
      <w:pPr>
        <w:numPr>
          <w:ilvl w:val="0"/>
          <w:numId w:val="1"/>
        </w:numPr>
        <w:rPr>
          <w:rFonts w:hint="eastAsia" w:ascii="宋体" w:hAnsi="宋体" w:cs="宋体"/>
          <w:color w:val="auto"/>
          <w:szCs w:val="21"/>
          <w:highlight w:val="none"/>
        </w:rPr>
      </w:pPr>
      <w:r>
        <w:rPr>
          <w:rFonts w:hint="eastAsia" w:ascii="宋体" w:hAnsi="宋体" w:cs="宋体"/>
          <w:color w:val="auto"/>
          <w:szCs w:val="21"/>
          <w:highlight w:val="none"/>
        </w:rPr>
        <w:t xml:space="preserve">成交单位所需的全部工作装备和耗材按采购文件要求提供。</w:t>
      </w:r>
      <w:r/>
    </w:p>
    <w:p>
      <w:pPr>
        <w:numPr>
          <w:ilvl w:val="0"/>
          <w:numId w:val="1"/>
        </w:numPr>
        <w:rPr>
          <w:rFonts w:hint="eastAsia" w:ascii="宋体" w:hAnsi="宋体" w:cs="宋体"/>
          <w:color w:val="auto"/>
          <w:szCs w:val="21"/>
          <w:highlight w:val="none"/>
        </w:rPr>
      </w:pPr>
      <w:r>
        <w:rPr>
          <w:rFonts w:hint="eastAsia" w:ascii="宋体" w:hAnsi="宋体" w:cs="宋体"/>
          <w:color w:val="auto"/>
          <w:szCs w:val="21"/>
          <w:highlight w:val="none"/>
        </w:rPr>
        <w:t xml:space="preserve">成交单位须按照本采购文件的要求对该采购项目进行服务工作。</w:t>
      </w:r>
      <w:r/>
    </w:p>
    <w:p>
      <w:pPr>
        <w:numPr>
          <w:ilvl w:val="0"/>
          <w:numId w:val="1"/>
        </w:numPr>
        <w:rPr>
          <w:rFonts w:hint="eastAsia" w:ascii="宋体" w:hAnsi="宋体" w:cs="宋体"/>
          <w:color w:val="auto"/>
          <w:szCs w:val="21"/>
          <w:highlight w:val="none"/>
        </w:rPr>
      </w:pPr>
      <w:r>
        <w:rPr>
          <w:rFonts w:hint="eastAsia" w:ascii="宋体" w:hAnsi="宋体" w:cs="宋体"/>
          <w:color w:val="auto"/>
          <w:szCs w:val="21"/>
          <w:highlight w:val="none"/>
        </w:rPr>
        <w:t xml:space="preserve">因成交单位管理不善，造成服务工作范围内的设施、设备等损坏的，由直接负责人赔偿，若直接负责人因故无法赔偿的，采购单位有权要求成交单位负责赔偿损失，情节严重的可终止合同甚至诉诸法律。</w:t>
      </w:r>
      <w:r/>
    </w:p>
    <w:p>
      <w:pPr>
        <w:numPr>
          <w:ilvl w:val="0"/>
          <w:numId w:val="1"/>
        </w:numPr>
        <w:rPr>
          <w:rFonts w:hint="eastAsia" w:ascii="宋体" w:hAnsi="宋体" w:cs="宋体"/>
          <w:color w:val="auto"/>
          <w:szCs w:val="21"/>
          <w:highlight w:val="none"/>
        </w:rPr>
      </w:pPr>
      <w:r>
        <w:rPr>
          <w:rFonts w:hint="eastAsia" w:ascii="宋体" w:hAnsi="宋体" w:cs="宋体"/>
          <w:color w:val="auto"/>
          <w:szCs w:val="21"/>
          <w:highlight w:val="none"/>
        </w:rPr>
        <w:t xml:space="preserve">服务单位在实际服务中，若服务期限有增减，则按实结算。</w:t>
      </w:r>
      <w:r/>
    </w:p>
    <w:p>
      <w:pPr>
        <w:numPr>
          <w:ilvl w:val="0"/>
          <w:numId w:val="1"/>
        </w:numPr>
        <w:rPr>
          <w:rFonts w:hint="eastAsia" w:ascii="宋体" w:hAnsi="宋体" w:cs="宋体"/>
          <w:color w:val="auto"/>
          <w:szCs w:val="21"/>
          <w:highlight w:val="none"/>
        </w:rPr>
      </w:pPr>
      <w:r>
        <w:rPr>
          <w:rFonts w:hint="eastAsia" w:ascii="宋体" w:hAnsi="宋体" w:cs="宋体"/>
          <w:color w:val="auto"/>
          <w:szCs w:val="21"/>
          <w:highlight w:val="none"/>
        </w:rPr>
        <w:t xml:space="preserve">履约保证金：无。</w:t>
      </w:r>
      <w:r/>
    </w:p>
    <w:p>
      <w:pPr>
        <w:numPr>
          <w:ilvl w:val="0"/>
          <w:numId w:val="1"/>
        </w:numPr>
        <w:rPr>
          <w:rFonts w:hint="eastAsia" w:ascii="宋体" w:hAnsi="宋体" w:cs="宋体"/>
          <w:color w:val="auto"/>
          <w:szCs w:val="21"/>
          <w:highlight w:val="none"/>
        </w:rPr>
      </w:pPr>
      <w:r>
        <w:rPr>
          <w:rFonts w:hint="eastAsia" w:ascii="宋体" w:hAnsi="宋体" w:cs="宋体"/>
          <w:color w:val="auto"/>
          <w:szCs w:val="21"/>
          <w:highlight w:val="none"/>
        </w:rPr>
        <w:t xml:space="preserve">中标人将根据招标文件、投标文件的相关约定，承担合同责任，履行合同义务。</w:t>
      </w:r>
      <w:r/>
    </w:p>
    <w:p>
      <w:pPr>
        <w:ind w:firstLine="422"/>
        <w:rPr>
          <w:rFonts w:hint="eastAsia" w:ascii="宋体" w:hAnsi="宋体" w:cs="宋体"/>
          <w:color w:val="auto"/>
          <w:szCs w:val="21"/>
          <w:highlight w:val="none"/>
        </w:rPr>
      </w:pPr>
      <w:r>
        <w:rPr>
          <w:rFonts w:hint="eastAsia" w:ascii="宋体" w:hAnsi="宋体" w:cs="宋体"/>
          <w:b/>
          <w:bCs/>
          <w:color w:val="auto"/>
          <w:szCs w:val="21"/>
          <w:highlight w:val="none"/>
        </w:rPr>
        <w:t xml:space="preserve">七、</w:t>
      </w:r>
      <w:r>
        <w:rPr>
          <w:rFonts w:hint="eastAsia" w:ascii="宋体" w:hAnsi="宋体" w:cs="宋体"/>
          <w:color w:val="auto"/>
          <w:szCs w:val="21"/>
          <w:highlight w:val="none"/>
        </w:rPr>
        <w:t xml:space="preserve">凡涉及招标文件的补充说明和修改，均以网上发布的通知为准。</w:t>
      </w:r>
      <w:r>
        <w:rPr>
          <w:rFonts w:hint="eastAsia" w:ascii="宋体" w:hAnsi="宋体" w:cs="宋体"/>
          <w:bCs/>
          <w:color w:val="auto"/>
          <w:szCs w:val="21"/>
          <w:highlight w:val="none"/>
        </w:rPr>
        <w:br w:type="page" w:clear="all"/>
      </w:r>
      <w:r/>
    </w:p>
    <w:p>
      <w:pPr>
        <w:pStyle w:val="1089"/>
        <w:rPr>
          <w:rFonts w:hint="eastAsia" w:ascii="宋体" w:hAnsi="宋体" w:cs="宋体"/>
          <w:color w:val="auto"/>
          <w:highlight w:val="none"/>
        </w:rPr>
      </w:pPr>
      <w:r/>
      <w:bookmarkStart w:id="38" w:name="_Toc7862"/>
      <w:r/>
      <w:bookmarkStart w:id="39" w:name="_Toc20502"/>
      <w:r>
        <w:rPr>
          <w:rFonts w:hint="eastAsia" w:ascii="宋体" w:hAnsi="宋体" w:cs="宋体"/>
          <w:color w:val="auto"/>
          <w:highlight w:val="none"/>
        </w:rPr>
        <w:t xml:space="preserve">四、评标办法及评分标准</w:t>
      </w:r>
      <w:bookmarkEnd w:id="38"/>
      <w:r/>
      <w:bookmarkEnd w:id="39"/>
      <w:r/>
      <w:r/>
    </w:p>
    <w:p>
      <w:pPr>
        <w:ind w:firstLine="422"/>
        <w:tabs>
          <w:tab w:val="left" w:pos="287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一、评审方法</w:t>
      </w:r>
      <w:r/>
    </w:p>
    <w:p>
      <w:pPr>
        <w:pStyle w:val="1114"/>
        <w:ind w:firstLine="420"/>
        <w:rPr>
          <w:rFonts w:hint="eastAsia" w:ascii="宋体" w:hAnsi="宋体" w:cs="宋体"/>
          <w:color w:val="auto"/>
          <w:highlight w:val="none"/>
        </w:rPr>
      </w:pPr>
      <w:r/>
      <w:bookmarkStart w:id="40" w:name="_Toc2682"/>
      <w:r>
        <w:rPr>
          <w:rFonts w:hint="eastAsia" w:ascii="宋体" w:hAnsi="宋体" w:cs="宋体"/>
          <w:color w:val="auto"/>
          <w:highlight w:val="none"/>
        </w:rPr>
        <w:t xml:space="preserve">1.本次磋商评标采用综合评分法，综合评分法是指投标文件满足投标文件全部实质性要求，且按照评审因素的量化指标评审得分最高的投标人为中标人的评标方法。</w:t>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2.采用综合评分法的，评标结果按评审后得分由高到低顺序排列。得分相同的，按投标报价由低到高顺序排列，以实际投标报价较低的优先作为中标人；得分且实际投标报价相同的，则由采购人以抽签方式确定中标人。</w:t>
      </w:r>
      <w:r/>
    </w:p>
    <w:p>
      <w:pPr>
        <w:pStyle w:val="1114"/>
        <w:ind w:firstLine="420"/>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pStyle w:val="1114"/>
        <w:ind w:firstLine="420"/>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.针对小型、微型企业的价格评审办法：</w:t>
      </w:r>
      <w:r/>
    </w:p>
    <w:p>
      <w:pPr>
        <w:ind w:firstLine="420"/>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color w:val="auto"/>
          <w:szCs w:val="21"/>
          <w:highlight w:val="none"/>
          <w:lang w:val="zh-CN"/>
        </w:rPr>
        <w:t xml:space="preserve">《关于印发〈苏州市政府采购促进中小企业发展实施意见〉的通知》（苏财购〔2022〕16号）的相关规定</w:t>
      </w:r>
      <w:r>
        <w:rPr>
          <w:rFonts w:hint="eastAsia" w:ascii="宋体" w:hAnsi="宋体" w:cs="宋体"/>
          <w:color w:val="auto"/>
          <w:szCs w:val="21"/>
          <w:highlight w:val="none"/>
        </w:rPr>
        <w:t xml:space="preserve">，采用综合评分法的采购项目对属于小型、微型企业的供应商给予评审优惠：</w:t>
      </w:r>
      <w:r/>
    </w:p>
    <w:p>
      <w:pPr>
        <w:ind w:firstLine="420"/>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（1）如供应商属于小型或微型企业且提供自有服务的，对其报价给予20%的扣除；扣除后的价格参与价格评审。</w:t>
      </w:r>
      <w:r/>
    </w:p>
    <w:p>
      <w:pPr>
        <w:ind w:firstLine="420"/>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（2）中小企业划分标准详见“工信部联企业〔2011〕300号通知”</w:t>
      </w:r>
      <w:r/>
    </w:p>
    <w:p>
      <w:pPr>
        <w:ind w:firstLine="420"/>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（3）中小微企业在响应文件中提供签署的《中小企业声明函》。未按采购文件的规定在响应文件中提供《中小企业声明函》的，不享受促进中小微企业发展的相关政府采购政策。</w:t>
      </w:r>
      <w:r/>
    </w:p>
    <w:p>
      <w:pPr>
        <w:ind w:firstLine="420"/>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（4）以上规定未尽事项，按《政府采购促进中小企业发展暂行办法》等有关制度规定执行。</w:t>
      </w:r>
      <w:r/>
    </w:p>
    <w:p>
      <w:pPr>
        <w:ind w:firstLine="420"/>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注：①填报“中小企业声明函”需严格按“工信部联企业〔2011〕300号通知”中的《中小企业划型标准规定》进行。</w:t>
      </w:r>
      <w:r/>
    </w:p>
    <w:p>
      <w:pPr>
        <w:ind w:firstLine="420"/>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②若供应商提供的“中小企业声明函”（见第六章格式）为虚假声明则视同提供虚假材料，按“政府采购法”相关规定处理并报请政府监管部门给予行政处罚。</w:t>
      </w:r>
      <w:r/>
    </w:p>
    <w:p>
      <w:pPr>
        <w:ind w:firstLine="422"/>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③专门面向中小企业采购的项目或者采购包，不再执行价格评审优惠的扶持政策。</w:t>
      </w:r>
      <w:r/>
    </w:p>
    <w:p>
      <w:pPr>
        <w:ind w:firstLine="420"/>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.针对残疾人福利性单位的评审：</w:t>
      </w:r>
      <w:r/>
    </w:p>
    <w:p>
      <w:pPr>
        <w:ind w:firstLine="420"/>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根据《关于促进残疾人就业政府采购政策的通知》（财库〔2017〕141号）的通知规定，对属于残疾人福利性单位的供应商给予评审加分：</w:t>
      </w:r>
      <w:r/>
    </w:p>
    <w:p>
      <w:pPr>
        <w:ind w:firstLine="420"/>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r/>
    </w:p>
    <w:p>
      <w:pPr>
        <w:ind w:firstLine="420"/>
        <w:tabs>
          <w:tab w:val="left" w:pos="2870" w:leader="none"/>
        </w:tabs>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.针对监狱企业的评审加分：</w:t>
      </w:r>
      <w:r/>
    </w:p>
    <w:p>
      <w:pPr>
        <w:ind w:firstLine="420"/>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根据《关于政府采购支持监狱企业发展有关问题的通知》（财库〔2014〕68号）的通知规定，对属于监狱企业的供应商给予评审加分：</w:t>
      </w:r>
      <w:r/>
    </w:p>
    <w:p>
      <w:pPr>
        <w:ind w:firstLine="420"/>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监狱企业视同小型、微型企业，享受评审中价格扣除等政府采购促进中小企业发展的政府采购政策。</w:t>
      </w:r>
      <w:r/>
    </w:p>
    <w:p>
      <w:pPr>
        <w:ind w:firstLine="420"/>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p>
    <w:p>
      <w:pPr>
        <w:ind w:firstLine="420"/>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供应商对提供的制造商的认定证明负有核实义务及责任。若供应商提供的“中小企业声明函”或认定证明（包括制造商）为虚假声明则视同提供虚假材料，供应商将按“政府采购法”相关规定处理并报请政府监管部门给予相应处罚。</w:t>
      </w:r>
      <w:r/>
    </w:p>
    <w:p>
      <w:pPr>
        <w:ind w:firstLine="422"/>
        <w:tabs>
          <w:tab w:val="left" w:pos="2870" w:leader="none"/>
        </w:tabs>
        <w:rPr>
          <w:rFonts w:hint="eastAsia" w:ascii="宋体" w:hAnsi="宋体" w:cs="宋体"/>
          <w:b/>
          <w:bCs/>
          <w:color w:val="auto"/>
          <w:highlight w:val="none"/>
        </w:rPr>
      </w:pPr>
      <w:r>
        <w:rPr>
          <w:rFonts w:hint="eastAsia" w:ascii="宋体" w:hAnsi="宋体" w:cs="宋体"/>
          <w:b/>
          <w:bCs/>
          <w:color w:val="auto"/>
          <w:highlight w:val="none"/>
        </w:rPr>
        <w:t xml:space="preserve">上述优惠政策不重复享受。</w:t>
      </w:r>
      <w:r/>
    </w:p>
    <w:p>
      <w:pPr>
        <w:numPr>
          <w:ilvl w:val="0"/>
          <w:numId w:val="2"/>
        </w:num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评分标准</w:t>
      </w:r>
      <w:bookmarkEnd w:id="40"/>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总分值均为100分，评审因素及各比重如下：价格分值占总分值的比重为10%（权重），技术与方案及其它占90%（权重）。</w:t>
      </w:r>
      <w:r/>
    </w:p>
    <w:p>
      <w:pPr>
        <w:pStyle w:val="1114"/>
        <w:numPr>
          <w:ilvl w:val="0"/>
          <w:numId w:val="3"/>
        </w:numPr>
        <w:rPr>
          <w:rFonts w:hint="eastAsia" w:ascii="宋体" w:hAnsi="宋体" w:cs="宋体"/>
          <w:b/>
          <w:bCs/>
          <w:color w:val="auto"/>
          <w:highlight w:val="none"/>
        </w:rPr>
      </w:pPr>
      <w:r/>
      <w:bookmarkStart w:id="41" w:name="_Toc1758"/>
      <w:r>
        <w:rPr>
          <w:rFonts w:hint="eastAsia" w:ascii="宋体" w:hAnsi="宋体" w:cs="宋体"/>
          <w:b/>
          <w:bCs/>
          <w:color w:val="auto"/>
          <w:highlight w:val="none"/>
        </w:rPr>
        <w:t xml:space="preserve">价格分（10分）</w:t>
      </w:r>
      <w:r/>
    </w:p>
    <w:p>
      <w:pPr>
        <w:pStyle w:val="1114"/>
        <w:ind w:firstLine="420"/>
        <w:rPr>
          <w:rFonts w:hint="eastAsia" w:ascii="宋体" w:hAnsi="宋体" w:cs="宋体"/>
          <w:color w:val="auto"/>
          <w:highlight w:val="none"/>
        </w:rPr>
      </w:pPr>
      <w:r/>
      <w:bookmarkStart w:id="42" w:name="OLE_LINK39"/>
      <w:r/>
      <w:bookmarkStart w:id="43" w:name="OLE_LINK19"/>
      <w:r>
        <w:rPr>
          <w:rFonts w:hint="eastAsia" w:ascii="宋体" w:hAnsi="宋体" w:cs="宋体"/>
          <w:color w:val="auto"/>
          <w:highlight w:val="none"/>
        </w:rPr>
        <w:t xml:space="preserve">1.投标总报价低于或等于财政预算价格的，为有效投标报价。超财政预算的投标报价为无效投标报价。无效投标报价的投标文件不进行评审，也不得标。</w:t>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2.价格分采用低价优先法计算，即满足招标文件要求且投标价格最低的投标报价为评标基准价。其他响应单位的价格分按照下列公式计算（计算结果四舍五入保留两位小数）。</w:t>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投标报价得分=（评标基准价/投标报价）*10%*100，小数点后保留两位。</w:t>
      </w:r>
      <w:bookmarkEnd w:id="42"/>
      <w:r/>
      <w:bookmarkEnd w:id="43"/>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3.报价修正规则</w:t>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在评审中，对投标报价出现前后不一致的，除招标文件另有规定外，按照下列规定修正：</w:t>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（1）投标文件中磋商响应报价表内容与投标文件中明细表内容不一致的，以磋商响应报价表为准。</w:t>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（2）投标文件的大写金额和小写金额不一致的，以大写金额为准。</w:t>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（3）单价金额小数点或者百分比有明显错位的，以磋商响应报价表的总价为准，并修改单价。</w:t>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（4）总价金额与按单价汇总金额不一致的，以单价金额计算结果为准。</w:t>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同时出现两种以上不一致的，按照前款规定的顺序修正。</w:t>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按上述方法调整后的投标报价经投标人确认后产生约束力，投标人不确认的，其投标无效。</w:t>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4．为深化采购制度改革，促进采购领域公平竞争，持续优化采购营商环境，实现优质优价采购目标，评审过程中出现下列情形之一的，评审委员会应当启动异常低价投标（响应）审查程序：</w:t>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（1）投标（响应）报价低于采购项目预算50%的，即投标（响应）报价&lt;采购项目预算×50%；</w:t>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（2）投标（响应）报价低于采购项目最高限价45%的，即投标（响应）报价&lt;采购项目最高限价×45%；</w:t>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（3）评审委员会认定的供应商报价过低、有可能影响产品质量或者不能诚信履约的其他情形。</w:t>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5．启动异常低价投标（响应）审查后，评审委员会应当要求相关供应商在评标现场合理的时间内，提供项目具体成本测算等与报价合理性相关的书面说明及相关证明材料，对投标（响应）价格作出解释，由评审委员会结合该行业当地薪资水平等情况，依据专业经验对供应商报价合理性进行判断。投标（响应）供应商不提供面说明、证明材料，或者提供的书面说明、证明材料不能证明其报价合理性的，评审委员会应当将其作为无效投标（响应）处理。</w:t>
      </w:r>
      <w:r/>
    </w:p>
    <w:p>
      <w:pPr>
        <w:pStyle w:val="1114"/>
        <w:ind w:firstLine="420"/>
        <w:rPr>
          <w:rFonts w:hint="eastAsia" w:ascii="宋体" w:hAnsi="宋体" w:cs="宋体"/>
          <w:color w:val="auto"/>
          <w:highlight w:val="none"/>
        </w:rPr>
      </w:pPr>
      <w:r>
        <w:rPr>
          <w:rFonts w:hint="eastAsia" w:ascii="宋体" w:hAnsi="宋体" w:cs="宋体"/>
          <w:color w:val="auto"/>
          <w:highlight w:val="none"/>
        </w:rPr>
        <w:t xml:space="preserve">6．对报价异常低且经评审委员会启动相关审查机制后仍中标或成交的供应商，采购人要重点关注其履约能力、履约承诺、实际履约情况等。如供应商在中标或成交后无正当理由拒不签订采购合同，采购人将依法追究其法律责任；如供应商在签订采购合同后不严格履行合同，采购人应按照采购合同约定追究供应商违约责任。</w:t>
      </w:r>
      <w:r/>
    </w:p>
    <w:p>
      <w:pPr>
        <w:pStyle w:val="1114"/>
        <w:numPr>
          <w:ilvl w:val="0"/>
          <w:numId w:val="3"/>
        </w:numPr>
        <w:rPr>
          <w:rFonts w:hint="eastAsia" w:ascii="宋体" w:hAnsi="宋体" w:cs="宋体"/>
          <w:b/>
          <w:bCs/>
          <w:color w:val="auto"/>
          <w:highlight w:val="none"/>
        </w:rPr>
      </w:pPr>
      <w:r>
        <w:rPr>
          <w:rFonts w:hint="eastAsia" w:ascii="宋体" w:hAnsi="宋体" w:cs="宋体"/>
          <w:b/>
          <w:bCs/>
          <w:color w:val="auto"/>
          <w:highlight w:val="none"/>
        </w:rPr>
        <w:t xml:space="preserve">技术及商务评分（90分）</w:t>
      </w:r>
      <w:r/>
    </w:p>
    <w:tbl>
      <w:tblPr>
        <w:tblStyle w:val="1092"/>
        <w:tblW w:w="870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548"/>
        <w:gridCol w:w="195"/>
        <w:gridCol w:w="5565"/>
        <w:gridCol w:w="660"/>
      </w:tblGrid>
      <w:tr>
        <w:trPr>
          <w:trHeight w:val="567"/>
        </w:trPr>
        <w:tc>
          <w:tcPr>
            <w:tcW w:w="734"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序号</w:t>
            </w:r>
            <w:r/>
          </w:p>
        </w:tc>
        <w:tc>
          <w:tcPr>
            <w:gridSpan w:val="2"/>
            <w:tcW w:w="1743"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评审因素</w:t>
            </w:r>
            <w:r/>
          </w:p>
        </w:tc>
        <w:tc>
          <w:tcPr>
            <w:tcW w:w="5565"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评分标准</w:t>
            </w:r>
            <w:r/>
          </w:p>
        </w:tc>
        <w:tc>
          <w:tcPr>
            <w:tcW w:w="660"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分值</w:t>
            </w:r>
            <w:r/>
          </w:p>
        </w:tc>
      </w:tr>
      <w:tr>
        <w:trPr>
          <w:trHeight w:val="567"/>
        </w:trPr>
        <w:tc>
          <w:tcPr>
            <w:tcW w:w="734" w:type="dxa"/>
            <w:vAlign w:val="center"/>
            <w:textDirection w:val="lrTb"/>
            <w:noWrap w:val="false"/>
          </w:tcPr>
          <w:p>
            <w:pPr>
              <w:widowControl/>
              <w:rPr>
                <w:rFonts w:hint="eastAsia" w:ascii="宋体" w:hAnsi="宋体" w:cs="宋体"/>
                <w:b/>
                <w:bCs/>
                <w:color w:val="auto"/>
                <w:highlight w:val="none"/>
              </w:rPr>
            </w:pPr>
            <w:r>
              <w:rPr>
                <w:rFonts w:hint="eastAsia" w:ascii="宋体" w:hAnsi="宋体" w:cs="宋体"/>
                <w:b/>
                <w:bCs/>
                <w:color w:val="auto"/>
                <w:highlight w:val="none"/>
              </w:rPr>
              <w:t xml:space="preserve">一</w:t>
            </w:r>
            <w:r/>
          </w:p>
        </w:tc>
        <w:tc>
          <w:tcPr>
            <w:gridSpan w:val="3"/>
            <w:tcW w:w="7308" w:type="dxa"/>
            <w:vAlign w:val="center"/>
            <w:textDirection w:val="lrTb"/>
            <w:noWrap w:val="false"/>
          </w:tcPr>
          <w:p>
            <w:pPr>
              <w:widowControl/>
              <w:rPr>
                <w:rFonts w:hint="eastAsia" w:ascii="宋体" w:hAnsi="宋体" w:cs="宋体"/>
                <w:b/>
                <w:bCs/>
                <w:color w:val="auto"/>
                <w:highlight w:val="none"/>
              </w:rPr>
            </w:pPr>
            <w:r>
              <w:rPr>
                <w:rFonts w:hint="eastAsia" w:ascii="宋体" w:hAnsi="宋体" w:cs="宋体"/>
                <w:b/>
                <w:bCs/>
                <w:color w:val="auto"/>
                <w:highlight w:val="none"/>
              </w:rPr>
              <w:t xml:space="preserve">管理技术及综合方案（55分）</w:t>
            </w:r>
            <w:r/>
          </w:p>
        </w:tc>
        <w:tc>
          <w:tcPr>
            <w:tcW w:w="660"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r>
            <w:r/>
          </w:p>
        </w:tc>
      </w:tr>
      <w:tr>
        <w:trPr>
          <w:trHeight w:val="567"/>
        </w:trPr>
        <w:tc>
          <w:tcPr>
            <w:tcW w:w="734"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1</w:t>
            </w:r>
            <w:r/>
          </w:p>
        </w:tc>
        <w:tc>
          <w:tcPr>
            <w:gridSpan w:val="2"/>
            <w:tcW w:w="1743"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针对本项目河湖水面管护服务的工作计划（8分）</w:t>
            </w:r>
            <w:r/>
          </w:p>
          <w:p>
            <w:pPr>
              <w:widowControl/>
              <w:rPr>
                <w:rFonts w:hint="eastAsia" w:ascii="宋体" w:hAnsi="宋体" w:cs="宋体"/>
                <w:color w:val="auto"/>
                <w:highlight w:val="none"/>
              </w:rPr>
            </w:pPr>
            <w:r>
              <w:rPr>
                <w:rFonts w:hint="eastAsia" w:ascii="宋体" w:hAnsi="宋体" w:cs="宋体"/>
                <w:color w:val="auto"/>
                <w:highlight w:val="none"/>
              </w:rPr>
            </w:r>
            <w:r/>
          </w:p>
        </w:tc>
        <w:tc>
          <w:tcPr>
            <w:tcW w:w="5565" w:type="dxa"/>
            <w:vAlign w:val="center"/>
            <w:textDirection w:val="lrTb"/>
            <w:noWrap w:val="false"/>
          </w:tcPr>
          <w:p>
            <w:pPr>
              <w:widowControl/>
              <w:rPr>
                <w:color w:val="auto"/>
                <w:highlight w:val="none"/>
              </w:rPr>
            </w:pPr>
            <w:r>
              <w:rPr>
                <w:rFonts w:hint="eastAsia"/>
                <w:color w:val="auto"/>
                <w:highlight w:val="none"/>
              </w:rPr>
              <w:t xml:space="preserve">根据响应单位提供的</w:t>
            </w:r>
            <w:r>
              <w:rPr>
                <w:rFonts w:hint="eastAsia"/>
                <w:color w:val="auto"/>
                <w:highlight w:val="none"/>
                <w:lang w:val="en-US" w:eastAsia="zh-CN"/>
              </w:rPr>
              <w:t xml:space="preserve">针对本项目</w:t>
            </w:r>
            <w:r>
              <w:rPr>
                <w:rFonts w:hint="eastAsia"/>
              </w:rPr>
              <w:t xml:space="preserve">包括水域、陆域、护岸、水生植物和垃圾处置分别设置服务方案</w:t>
            </w:r>
            <w:r>
              <w:rPr>
                <w:rFonts w:hint="eastAsia"/>
                <w:lang w:val="en-US" w:eastAsia="zh-CN"/>
              </w:rPr>
              <w:t xml:space="preserve">及计划</w:t>
            </w:r>
            <w:r>
              <w:rPr>
                <w:rFonts w:hint="eastAsia"/>
                <w:color w:val="auto"/>
                <w:highlight w:val="none"/>
              </w:rPr>
              <w:t xml:space="preserve">，主要内容包括：①保洁区域划分②劳动力安排③项目经理管理措施④人员技术培训方案⑤作业流程⑥详细的保洁作业方式⑦作业人员交接方式等进行综合评分。</w:t>
            </w:r>
            <w:r/>
          </w:p>
          <w:p>
            <w:pPr>
              <w:widowControl/>
              <w:rPr>
                <w:color w:val="auto"/>
                <w:highlight w:val="none"/>
              </w:rPr>
            </w:pPr>
            <w:r>
              <w:rPr>
                <w:rFonts w:hint="eastAsia"/>
                <w:color w:val="auto"/>
                <w:highlight w:val="none"/>
              </w:rPr>
              <w:t xml:space="preserve">服务方案覆盖所有内容要点，方案清晰详实，科学合理，条理性和可操作性强，得8分；服务方案的内容要点比较清晰详实，方案较为清晰、科学、合理，有一定的可操作性和条理性得6分；服务方案的内容要点有一定缺失，方案不够清晰、科学、合理，可操作性和条理性一般的得4分；服务方案的内容要点缺失较多，方案缺乏条理性，可操作性不强，得2分；未提供不得分。</w:t>
            </w:r>
            <w:r/>
          </w:p>
        </w:tc>
        <w:tc>
          <w:tcPr>
            <w:tcW w:w="660"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8</w:t>
            </w:r>
            <w:r/>
          </w:p>
        </w:tc>
      </w:tr>
      <w:tr>
        <w:trPr>
          <w:trHeight w:val="567"/>
        </w:trPr>
        <w:tc>
          <w:tcPr>
            <w:tcW w:w="734"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2</w:t>
            </w:r>
            <w:r/>
          </w:p>
        </w:tc>
        <w:tc>
          <w:tcPr>
            <w:gridSpan w:val="2"/>
            <w:tcW w:w="1743"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针对本项目河湖水面管护服务的组织结构及各项制度（8分）</w:t>
            </w:r>
            <w:r/>
          </w:p>
          <w:p>
            <w:pPr>
              <w:rPr>
                <w:rFonts w:hint="eastAsia" w:ascii="宋体" w:hAnsi="宋体" w:cs="宋体"/>
                <w:color w:val="auto"/>
                <w:highlight w:val="none"/>
              </w:rPr>
            </w:pPr>
            <w:r>
              <w:rPr>
                <w:rFonts w:hint="eastAsia" w:ascii="宋体" w:hAnsi="宋体" w:cs="宋体"/>
                <w:color w:val="auto"/>
                <w:highlight w:val="none"/>
              </w:rPr>
            </w:r>
            <w:r/>
          </w:p>
        </w:tc>
        <w:tc>
          <w:tcPr>
            <w:tcW w:w="5565" w:type="dxa"/>
            <w:vAlign w:val="center"/>
            <w:textDirection w:val="lrTb"/>
            <w:noWrap w:val="false"/>
          </w:tcPr>
          <w:p>
            <w:pPr>
              <w:widowControl/>
              <w:rPr>
                <w:rFonts w:hint="eastAsia" w:ascii="宋体" w:hAnsi="宋体" w:cs="宋体"/>
                <w:color w:val="auto"/>
                <w:highlight w:val="none"/>
              </w:rPr>
            </w:pPr>
            <w:r>
              <w:rPr>
                <w:rFonts w:hint="eastAsia"/>
                <w:color w:val="auto"/>
                <w:highlight w:val="none"/>
              </w:rPr>
              <w:t xml:space="preserve">根据响应单位提供的单位内部管理制度方案，主要内容包括：</w:t>
            </w:r>
            <w:r>
              <w:rPr>
                <w:rFonts w:hint="eastAsia"/>
                <w:color w:val="auto"/>
                <w:highlight w:val="none"/>
              </w:rPr>
              <w:fldChar w:fldCharType="begin"/>
            </w:r>
            <w:r>
              <w:rPr>
                <w:rFonts w:hint="eastAsia"/>
                <w:color w:val="auto"/>
                <w:highlight w:val="none"/>
              </w:rPr>
              <w:instrText xml:space="preserve"> = 1 \* GB3 \* MERGEFORMAT </w:instrText>
            </w:r>
            <w:r>
              <w:rPr>
                <w:rFonts w:hint="eastAsia"/>
                <w:color w:val="auto"/>
                <w:highlight w:val="none"/>
              </w:rPr>
              <w:fldChar w:fldCharType="separate"/>
            </w:r>
            <w:r>
              <w:rPr>
                <w:color w:val="auto"/>
                <w:highlight w:val="none"/>
              </w:rPr>
              <w:t xml:space="preserve">①</w:t>
            </w:r>
            <w:r>
              <w:rPr>
                <w:rFonts w:hint="eastAsia"/>
                <w:color w:val="auto"/>
                <w:highlight w:val="none"/>
              </w:rPr>
              <w:fldChar w:fldCharType="end"/>
            </w:r>
            <w:r>
              <w:rPr>
                <w:rFonts w:hint="eastAsia"/>
                <w:color w:val="auto"/>
                <w:highlight w:val="none"/>
              </w:rPr>
              <w:t xml:space="preserve">组织架构</w:t>
            </w:r>
            <w:r>
              <w:rPr>
                <w:rFonts w:hint="eastAsia"/>
                <w:color w:val="auto"/>
                <w:highlight w:val="none"/>
              </w:rPr>
              <w:fldChar w:fldCharType="begin"/>
            </w:r>
            <w:r>
              <w:rPr>
                <w:rFonts w:hint="eastAsia"/>
                <w:color w:val="auto"/>
                <w:highlight w:val="none"/>
              </w:rPr>
              <w:instrText xml:space="preserve"> = 2 \* GB3 \* MERGEFORMAT </w:instrText>
            </w:r>
            <w:r>
              <w:rPr>
                <w:rFonts w:hint="eastAsia"/>
                <w:color w:val="auto"/>
                <w:highlight w:val="none"/>
              </w:rPr>
              <w:fldChar w:fldCharType="separate"/>
            </w:r>
            <w:r>
              <w:rPr>
                <w:color w:val="auto"/>
                <w:highlight w:val="none"/>
              </w:rPr>
              <w:t xml:space="preserve">②</w:t>
            </w:r>
            <w:r>
              <w:rPr>
                <w:rFonts w:hint="eastAsia"/>
                <w:color w:val="auto"/>
                <w:highlight w:val="none"/>
              </w:rPr>
              <w:fldChar w:fldCharType="end"/>
            </w:r>
            <w:r>
              <w:rPr>
                <w:rFonts w:hint="eastAsia"/>
                <w:color w:val="auto"/>
                <w:highlight w:val="none"/>
              </w:rPr>
              <w:t xml:space="preserve">保洁管理及作业制度</w:t>
            </w:r>
            <w:r>
              <w:rPr>
                <w:rFonts w:hint="eastAsia"/>
                <w:color w:val="auto"/>
                <w:highlight w:val="none"/>
              </w:rPr>
              <w:fldChar w:fldCharType="begin"/>
            </w:r>
            <w:r>
              <w:rPr>
                <w:rFonts w:hint="eastAsia"/>
                <w:color w:val="auto"/>
                <w:highlight w:val="none"/>
              </w:rPr>
              <w:instrText xml:space="preserve"> = 3 \* GB3 \* MERGEFORMAT </w:instrText>
            </w:r>
            <w:r>
              <w:rPr>
                <w:rFonts w:hint="eastAsia"/>
                <w:color w:val="auto"/>
                <w:highlight w:val="none"/>
              </w:rPr>
              <w:fldChar w:fldCharType="separate"/>
            </w:r>
            <w:r>
              <w:rPr>
                <w:color w:val="auto"/>
                <w:highlight w:val="none"/>
              </w:rPr>
              <w:t xml:space="preserve">③</w:t>
            </w:r>
            <w:r>
              <w:rPr>
                <w:rFonts w:hint="eastAsia"/>
                <w:color w:val="auto"/>
                <w:highlight w:val="none"/>
              </w:rPr>
              <w:fldChar w:fldCharType="end"/>
            </w:r>
            <w:r>
              <w:rPr>
                <w:rFonts w:hint="eastAsia"/>
                <w:color w:val="auto"/>
                <w:highlight w:val="none"/>
              </w:rPr>
              <w:t xml:space="preserve">项目内部保洁检查制度</w:t>
            </w:r>
            <w:r>
              <w:rPr>
                <w:rFonts w:hint="eastAsia"/>
                <w:color w:val="auto"/>
                <w:highlight w:val="none"/>
              </w:rPr>
              <w:fldChar w:fldCharType="begin"/>
            </w:r>
            <w:r>
              <w:rPr>
                <w:rFonts w:hint="eastAsia"/>
                <w:color w:val="auto"/>
                <w:highlight w:val="none"/>
              </w:rPr>
              <w:instrText xml:space="preserve"> = 4 \* GB3 \* MERGEFORMAT </w:instrText>
            </w:r>
            <w:r>
              <w:rPr>
                <w:rFonts w:hint="eastAsia"/>
                <w:color w:val="auto"/>
                <w:highlight w:val="none"/>
              </w:rPr>
              <w:fldChar w:fldCharType="separate"/>
            </w:r>
            <w:r>
              <w:rPr>
                <w:color w:val="auto"/>
                <w:highlight w:val="none"/>
              </w:rPr>
              <w:t xml:space="preserve">④</w:t>
            </w:r>
            <w:r>
              <w:rPr>
                <w:rFonts w:hint="eastAsia"/>
                <w:color w:val="auto"/>
                <w:highlight w:val="none"/>
              </w:rPr>
              <w:fldChar w:fldCharType="end"/>
            </w:r>
            <w:r>
              <w:rPr>
                <w:rFonts w:hint="eastAsia"/>
                <w:color w:val="auto"/>
                <w:highlight w:val="none"/>
              </w:rPr>
              <w:t xml:space="preserve">自查自纠制度等进行综合评定。</w:t>
            </w:r>
            <w:r/>
          </w:p>
          <w:p>
            <w:pPr>
              <w:pStyle w:val="1114"/>
              <w:ind w:firstLine="0"/>
              <w:rPr>
                <w:color w:val="auto"/>
                <w:highlight w:val="none"/>
              </w:rPr>
            </w:pPr>
            <w:r>
              <w:rPr>
                <w:rFonts w:hint="eastAsia"/>
                <w:color w:val="auto"/>
                <w:highlight w:val="none"/>
              </w:rPr>
              <w:t xml:space="preserve">服务方案覆盖所有内容要点，方案清晰详实，科学合理，条理性和可操作性强，得8分；服务方案的内容要点比较清晰详实，方案较为清晰、科学、合理，有一定的可操作性和条理性得6分；服务方案的内容要点有一定缺失，方案不够清晰、科学、合理，可操作性和条理性一般的得4分；服务方案的内容要点缺失较多，方案缺乏条理性，可操作性不强，得2分；未提供不得分。</w:t>
            </w:r>
            <w:r/>
          </w:p>
        </w:tc>
        <w:tc>
          <w:tcPr>
            <w:tcW w:w="660"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8</w:t>
            </w:r>
            <w:r/>
          </w:p>
        </w:tc>
      </w:tr>
      <w:tr>
        <w:trPr>
          <w:trHeight w:val="567"/>
        </w:trPr>
        <w:tc>
          <w:tcPr>
            <w:tcW w:w="734"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3</w:t>
            </w:r>
            <w:r/>
          </w:p>
        </w:tc>
        <w:tc>
          <w:tcPr>
            <w:gridSpan w:val="2"/>
            <w:tcW w:w="1743"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内部考核及奖惩（8分）</w:t>
            </w:r>
            <w:r/>
          </w:p>
          <w:p>
            <w:pPr>
              <w:rPr>
                <w:rFonts w:hint="eastAsia" w:ascii="宋体" w:hAnsi="宋体" w:cs="宋体"/>
                <w:color w:val="auto"/>
                <w:highlight w:val="none"/>
              </w:rPr>
            </w:pPr>
            <w:r>
              <w:rPr>
                <w:rFonts w:hint="eastAsia" w:ascii="宋体" w:hAnsi="宋体" w:cs="宋体"/>
                <w:color w:val="auto"/>
                <w:highlight w:val="none"/>
              </w:rPr>
            </w:r>
            <w:r/>
          </w:p>
        </w:tc>
        <w:tc>
          <w:tcPr>
            <w:tcW w:w="5565" w:type="dxa"/>
            <w:vAlign w:val="center"/>
            <w:textDirection w:val="lrTb"/>
            <w:noWrap w:val="false"/>
          </w:tcPr>
          <w:p>
            <w:pPr>
              <w:widowControl/>
              <w:rPr>
                <w:rFonts w:hint="eastAsia" w:ascii="宋体" w:hAnsi="宋体" w:cs="宋体"/>
                <w:color w:val="auto"/>
                <w:highlight w:val="none"/>
              </w:rPr>
            </w:pPr>
            <w:r>
              <w:rPr>
                <w:rFonts w:hint="eastAsia"/>
                <w:color w:val="auto"/>
                <w:highlight w:val="none"/>
              </w:rPr>
              <w:t xml:space="preserve">根据响应单位提供的</w:t>
            </w:r>
            <w:r>
              <w:rPr>
                <w:rFonts w:hint="eastAsia" w:ascii="宋体" w:hAnsi="宋体" w:cs="宋体"/>
                <w:color w:val="auto"/>
                <w:szCs w:val="21"/>
                <w:highlight w:val="none"/>
              </w:rPr>
              <w:t xml:space="preserve">内部考核及奖惩制度方案，主要包含日常保洁责任制度、绿化养护、漂浮垃圾收集清运责任制度、内部考核及奖惩制度（管理人员、作业人员）等进行综合评定。</w:t>
            </w:r>
            <w:r/>
          </w:p>
          <w:p>
            <w:pPr>
              <w:widowControl/>
              <w:rPr>
                <w:rFonts w:hint="eastAsia" w:ascii="宋体" w:hAnsi="宋体"/>
                <w:color w:val="auto"/>
                <w:highlight w:val="none"/>
              </w:rPr>
            </w:pPr>
            <w:r>
              <w:rPr>
                <w:rFonts w:hint="eastAsia" w:ascii="宋体" w:hAnsi="宋体" w:cs="宋体"/>
                <w:color w:val="auto"/>
                <w:highlight w:val="none"/>
              </w:rPr>
              <w:t xml:space="preserve">内部考核及奖惩方案完善、明确合理的得8分；内部考核及奖惩方案较完善、较明确合理的得6分；内部考核及奖惩方案完善性、合理性一般的得4分；内部考核及奖惩方案完善性、合理性较差的得2分；方案不具有操作性或无相关内容的不得分。</w:t>
            </w:r>
            <w:r/>
          </w:p>
        </w:tc>
        <w:tc>
          <w:tcPr>
            <w:tcW w:w="660" w:type="dxa"/>
            <w:vAlign w:val="center"/>
            <w:textDirection w:val="lrTb"/>
            <w:noWrap w:val="false"/>
          </w:tcPr>
          <w:p>
            <w:pPr>
              <w:rPr>
                <w:rFonts w:hint="eastAsia" w:ascii="宋体" w:hAnsi="宋体" w:cs="宋体"/>
                <w:bCs/>
                <w:color w:val="auto"/>
                <w:highlight w:val="none"/>
              </w:rPr>
            </w:pPr>
            <w:r>
              <w:rPr>
                <w:rFonts w:hint="eastAsia" w:ascii="宋体" w:hAnsi="宋体" w:cs="宋体"/>
                <w:bCs/>
                <w:color w:val="auto"/>
                <w:highlight w:val="none"/>
              </w:rPr>
              <w:t xml:space="preserve">8</w:t>
            </w:r>
            <w:r/>
          </w:p>
        </w:tc>
      </w:tr>
      <w:tr>
        <w:trPr>
          <w:trHeight w:val="567"/>
        </w:trPr>
        <w:tc>
          <w:tcPr>
            <w:tcW w:w="734"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4</w:t>
            </w:r>
            <w:r/>
          </w:p>
        </w:tc>
        <w:tc>
          <w:tcPr>
            <w:gridSpan w:val="2"/>
            <w:tcW w:w="1743"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进退场方案比较 （8分）</w:t>
            </w:r>
            <w:r/>
          </w:p>
          <w:p>
            <w:pPr>
              <w:rPr>
                <w:rFonts w:hint="eastAsia" w:ascii="宋体" w:hAnsi="宋体" w:cs="宋体"/>
                <w:bCs/>
                <w:color w:val="auto"/>
                <w:highlight w:val="none"/>
              </w:rPr>
            </w:pPr>
            <w:r>
              <w:rPr>
                <w:rFonts w:hint="eastAsia" w:ascii="宋体" w:hAnsi="宋体" w:cs="宋体"/>
                <w:bCs/>
                <w:color w:val="auto"/>
                <w:highlight w:val="none"/>
              </w:rPr>
            </w:r>
            <w:r/>
          </w:p>
        </w:tc>
        <w:tc>
          <w:tcPr>
            <w:tcW w:w="5565" w:type="dxa"/>
            <w:vAlign w:val="center"/>
            <w:textDirection w:val="lrTb"/>
            <w:noWrap w:val="false"/>
          </w:tcPr>
          <w:p>
            <w:pPr>
              <w:pStyle w:val="1114"/>
              <w:ind w:firstLine="0"/>
              <w:rPr>
                <w:color w:val="auto"/>
                <w:highlight w:val="none"/>
              </w:rPr>
            </w:pPr>
            <w:r>
              <w:rPr>
                <w:rFonts w:hint="eastAsia"/>
                <w:color w:val="auto"/>
                <w:highlight w:val="none"/>
              </w:rPr>
              <w:t xml:space="preserve">根据响应单位提供的进退场交接方案及对保洁承包区内环境设施的维护管理及措施方案，主要内容包括：</w:t>
            </w:r>
            <w:r>
              <w:rPr>
                <w:rFonts w:hint="eastAsia"/>
                <w:color w:val="auto"/>
                <w:highlight w:val="none"/>
              </w:rPr>
              <w:fldChar w:fldCharType="begin"/>
            </w:r>
            <w:r>
              <w:rPr>
                <w:rFonts w:hint="eastAsia"/>
                <w:color w:val="auto"/>
                <w:highlight w:val="none"/>
              </w:rPr>
              <w:instrText xml:space="preserve"> = 1 \* GB3 \* MERGEFORMAT </w:instrText>
            </w:r>
            <w:r>
              <w:rPr>
                <w:rFonts w:hint="eastAsia"/>
                <w:color w:val="auto"/>
                <w:highlight w:val="none"/>
              </w:rPr>
              <w:fldChar w:fldCharType="separate"/>
            </w:r>
            <w:r>
              <w:rPr>
                <w:color w:val="auto"/>
                <w:highlight w:val="none"/>
              </w:rPr>
              <w:t xml:space="preserve">①</w:t>
            </w:r>
            <w:r>
              <w:rPr>
                <w:rFonts w:hint="eastAsia"/>
                <w:color w:val="auto"/>
                <w:highlight w:val="none"/>
              </w:rPr>
              <w:fldChar w:fldCharType="end"/>
            </w:r>
            <w:r>
              <w:rPr>
                <w:rFonts w:hint="eastAsia"/>
                <w:color w:val="auto"/>
                <w:highlight w:val="none"/>
              </w:rPr>
              <w:t xml:space="preserve">组织方案</w:t>
            </w:r>
            <w:r>
              <w:rPr>
                <w:rFonts w:hint="eastAsia"/>
                <w:color w:val="auto"/>
                <w:highlight w:val="none"/>
              </w:rPr>
              <w:fldChar w:fldCharType="begin"/>
            </w:r>
            <w:r>
              <w:rPr>
                <w:rFonts w:hint="eastAsia"/>
                <w:color w:val="auto"/>
                <w:highlight w:val="none"/>
              </w:rPr>
              <w:instrText xml:space="preserve"> = 2 \* GB3 \* MERGEFORMAT </w:instrText>
            </w:r>
            <w:r>
              <w:rPr>
                <w:rFonts w:hint="eastAsia"/>
                <w:color w:val="auto"/>
                <w:highlight w:val="none"/>
              </w:rPr>
              <w:fldChar w:fldCharType="separate"/>
            </w:r>
            <w:r>
              <w:rPr>
                <w:color w:val="auto"/>
                <w:highlight w:val="none"/>
              </w:rPr>
              <w:t xml:space="preserve">②</w:t>
            </w:r>
            <w:r>
              <w:rPr>
                <w:rFonts w:hint="eastAsia"/>
                <w:color w:val="auto"/>
                <w:highlight w:val="none"/>
              </w:rPr>
              <w:fldChar w:fldCharType="end"/>
            </w:r>
            <w:r>
              <w:rPr>
                <w:rFonts w:hint="eastAsia"/>
                <w:color w:val="auto"/>
                <w:highlight w:val="none"/>
              </w:rPr>
              <w:t xml:space="preserve">档案交接</w:t>
            </w:r>
            <w:r>
              <w:rPr>
                <w:rFonts w:hint="eastAsia"/>
                <w:color w:val="auto"/>
                <w:highlight w:val="none"/>
              </w:rPr>
              <w:fldChar w:fldCharType="begin"/>
            </w:r>
            <w:r>
              <w:rPr>
                <w:rFonts w:hint="eastAsia"/>
                <w:color w:val="auto"/>
                <w:highlight w:val="none"/>
              </w:rPr>
              <w:instrText xml:space="preserve"> = 3 \* GB3 \* MERGEFORMAT </w:instrText>
            </w:r>
            <w:r>
              <w:rPr>
                <w:rFonts w:hint="eastAsia"/>
                <w:color w:val="auto"/>
                <w:highlight w:val="none"/>
              </w:rPr>
              <w:fldChar w:fldCharType="separate"/>
            </w:r>
            <w:r>
              <w:rPr>
                <w:color w:val="auto"/>
                <w:highlight w:val="none"/>
              </w:rPr>
              <w:t xml:space="preserve">③</w:t>
            </w:r>
            <w:r>
              <w:rPr>
                <w:rFonts w:hint="eastAsia"/>
                <w:color w:val="auto"/>
                <w:highlight w:val="none"/>
              </w:rPr>
              <w:fldChar w:fldCharType="end"/>
            </w:r>
            <w:r>
              <w:rPr>
                <w:rFonts w:hint="eastAsia"/>
                <w:color w:val="auto"/>
                <w:highlight w:val="none"/>
              </w:rPr>
              <w:t xml:space="preserve">环境设施组织措施</w:t>
            </w:r>
            <w:r>
              <w:rPr>
                <w:rFonts w:hint="eastAsia"/>
                <w:color w:val="auto"/>
                <w:highlight w:val="none"/>
              </w:rPr>
              <w:fldChar w:fldCharType="begin"/>
            </w:r>
            <w:r>
              <w:rPr>
                <w:rFonts w:hint="eastAsia"/>
                <w:color w:val="auto"/>
                <w:highlight w:val="none"/>
              </w:rPr>
              <w:instrText xml:space="preserve"> = 4 \* GB3 \* MERGEFORMAT </w:instrText>
            </w:r>
            <w:r>
              <w:rPr>
                <w:rFonts w:hint="eastAsia"/>
                <w:color w:val="auto"/>
                <w:highlight w:val="none"/>
              </w:rPr>
              <w:fldChar w:fldCharType="separate"/>
            </w:r>
            <w:r>
              <w:rPr>
                <w:color w:val="auto"/>
                <w:highlight w:val="none"/>
              </w:rPr>
              <w:t xml:space="preserve">④</w:t>
            </w:r>
            <w:r>
              <w:rPr>
                <w:rFonts w:hint="eastAsia"/>
                <w:color w:val="auto"/>
                <w:highlight w:val="none"/>
              </w:rPr>
              <w:fldChar w:fldCharType="end"/>
            </w:r>
            <w:r>
              <w:rPr>
                <w:rFonts w:hint="eastAsia"/>
                <w:color w:val="auto"/>
                <w:highlight w:val="none"/>
              </w:rPr>
              <w:t xml:space="preserve">环境设施技术措施等进行综合评分。</w:t>
            </w:r>
            <w:r/>
          </w:p>
          <w:p>
            <w:pPr>
              <w:widowControl/>
              <w:rPr>
                <w:rFonts w:hint="eastAsia" w:ascii="宋体" w:hAnsi="宋体" w:cs="宋体"/>
                <w:color w:val="auto"/>
                <w:highlight w:val="none"/>
              </w:rPr>
            </w:pPr>
            <w:r>
              <w:rPr>
                <w:rFonts w:hint="eastAsia"/>
                <w:color w:val="auto"/>
                <w:highlight w:val="none"/>
              </w:rPr>
              <w:t xml:space="preserve">服务方案覆盖所有内容要点，方案清晰详实，科学合理，条理性和可操作性强，得8分；服务方案的内容要点比较清晰详实，方案较为清晰、科学、合理，有一定的可操作性和条理性得6分；服务方案的内容要点有一定缺失，方案不够清晰、科学、合理，可操作性和条理性一般的得4分；服务方案的内容要点缺失较多，方案缺乏条理性，可操作性不强，得2分；未提供不得分。 </w:t>
            </w:r>
            <w:r/>
          </w:p>
        </w:tc>
        <w:tc>
          <w:tcPr>
            <w:tcW w:w="660"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8</w:t>
            </w:r>
            <w:r/>
          </w:p>
        </w:tc>
      </w:tr>
      <w:tr>
        <w:trPr>
          <w:trHeight w:val="567"/>
        </w:trPr>
        <w:tc>
          <w:tcPr>
            <w:tcW w:w="734"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5</w:t>
            </w:r>
            <w:r/>
          </w:p>
        </w:tc>
        <w:tc>
          <w:tcPr>
            <w:gridSpan w:val="2"/>
            <w:tcW w:w="1743"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应急方案比较（8分）</w:t>
            </w:r>
            <w:r/>
          </w:p>
          <w:p>
            <w:pPr>
              <w:rPr>
                <w:rFonts w:hint="eastAsia" w:ascii="宋体" w:hAnsi="宋体" w:cs="宋体"/>
                <w:color w:val="auto"/>
                <w:highlight w:val="none"/>
              </w:rPr>
            </w:pPr>
            <w:r>
              <w:rPr>
                <w:rFonts w:hint="eastAsia" w:ascii="宋体" w:hAnsi="宋体" w:cs="宋体"/>
                <w:color w:val="auto"/>
                <w:highlight w:val="none"/>
              </w:rPr>
            </w:r>
            <w:r/>
          </w:p>
        </w:tc>
        <w:tc>
          <w:tcPr>
            <w:tcW w:w="5565"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根据响应单位提供的可能发生的各类应急方案，如：火灾事件、大型活动、</w:t>
            </w:r>
            <w:r>
              <w:rPr>
                <w:rFonts w:hint="eastAsia"/>
                <w:color w:val="auto"/>
                <w:highlight w:val="none"/>
              </w:rPr>
              <w:t xml:space="preserve">恶劣天气等的抢救应急预案</w:t>
            </w:r>
            <w:r>
              <w:rPr>
                <w:rFonts w:hint="eastAsia" w:ascii="宋体" w:hAnsi="宋体" w:cs="宋体"/>
                <w:color w:val="auto"/>
                <w:highlight w:val="none"/>
              </w:rPr>
              <w:t xml:space="preserve">等，由响应单位根据管理经验自行拟制。</w:t>
            </w:r>
            <w:r/>
          </w:p>
          <w:p>
            <w:pPr>
              <w:widowControl/>
              <w:rPr>
                <w:rFonts w:hint="eastAsia" w:ascii="宋体" w:hAnsi="宋体" w:cs="宋体"/>
                <w:color w:val="auto"/>
                <w:highlight w:val="none"/>
              </w:rPr>
            </w:pPr>
            <w:r>
              <w:rPr>
                <w:rFonts w:hint="eastAsia" w:ascii="宋体" w:hAnsi="宋体" w:cs="宋体"/>
                <w:color w:val="auto"/>
                <w:highlight w:val="none"/>
              </w:rPr>
              <w:t xml:space="preserve">方案合理、可操作性强且完善、规范、清晰的得8分；方案良好，概述较为详细，方案考虑比较细致，能满足项目实施需要的得6分；方案较合理，可操作性一般，基本满足项目需要的得4分；方案操作性差且不完善、不规范、不清晰的得2分；方案不具有操作性或无相关内容的不得分。</w:t>
            </w:r>
            <w:r/>
          </w:p>
        </w:tc>
        <w:tc>
          <w:tcPr>
            <w:tcW w:w="660"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8</w:t>
            </w:r>
            <w:r/>
          </w:p>
        </w:tc>
      </w:tr>
      <w:tr>
        <w:trPr>
          <w:trHeight w:val="567"/>
        </w:trPr>
        <w:tc>
          <w:tcPr>
            <w:tcW w:w="734" w:type="dxa"/>
            <w:vAlign w:val="center"/>
            <w:textDirection w:val="lrTb"/>
            <w:noWrap w:val="false"/>
          </w:tcPr>
          <w:p>
            <w:pPr>
              <w:rPr>
                <w:rFonts w:hint="eastAsia" w:ascii="宋体" w:hAnsi="宋体" w:cs="宋体"/>
                <w:color w:val="auto"/>
                <w:highlight w:val="none"/>
              </w:rPr>
            </w:pPr>
            <w:r>
              <w:rPr>
                <w:rFonts w:ascii="宋体" w:hAnsi="宋体" w:cs="宋体"/>
                <w:color w:val="auto"/>
                <w:highlight w:val="none"/>
              </w:rPr>
              <w:t xml:space="preserve">6</w:t>
            </w:r>
            <w:r/>
          </w:p>
        </w:tc>
        <w:tc>
          <w:tcPr>
            <w:gridSpan w:val="2"/>
            <w:tcW w:w="1743"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安全文明措施（8分）</w:t>
            </w:r>
            <w:r/>
          </w:p>
          <w:p>
            <w:pPr>
              <w:rPr>
                <w:rFonts w:hint="eastAsia" w:ascii="宋体" w:hAnsi="宋体" w:cs="宋体"/>
                <w:color w:val="auto"/>
                <w:highlight w:val="none"/>
              </w:rPr>
            </w:pPr>
            <w:r>
              <w:rPr>
                <w:rFonts w:hint="eastAsia" w:ascii="宋体" w:hAnsi="宋体" w:cs="宋体"/>
                <w:color w:val="auto"/>
                <w:highlight w:val="none"/>
              </w:rPr>
            </w:r>
            <w:r/>
          </w:p>
        </w:tc>
        <w:tc>
          <w:tcPr>
            <w:tcW w:w="5565" w:type="dxa"/>
            <w:vAlign w:val="center"/>
            <w:textDirection w:val="lrTb"/>
            <w:noWrap w:val="false"/>
          </w:tcPr>
          <w:p>
            <w:pPr>
              <w:widowControl/>
              <w:rPr>
                <w:rFonts w:hint="eastAsia" w:ascii="宋体" w:hAnsi="宋体" w:cs="宋体"/>
                <w:color w:val="auto"/>
                <w:highlight w:val="none"/>
              </w:rPr>
            </w:pPr>
            <w:r>
              <w:rPr>
                <w:rFonts w:hint="eastAsia"/>
                <w:color w:val="auto"/>
                <w:highlight w:val="none"/>
              </w:rPr>
              <w:t xml:space="preserve">根据响应单位提供的安全文明措施及各项应急预案，主要内容包括：</w:t>
            </w:r>
            <w:r>
              <w:rPr>
                <w:rFonts w:hint="eastAsia" w:ascii="微软雅黑" w:hAnsi="微软雅黑" w:eastAsia="微软雅黑" w:cs="微软雅黑"/>
                <w:color w:val="auto"/>
                <w:highlight w:val="none"/>
              </w:rPr>
              <w:t xml:space="preserve">①</w:t>
            </w:r>
            <w:r>
              <w:rPr>
                <w:rFonts w:hint="eastAsia" w:ascii="宋体" w:hAnsi="宋体" w:cs="宋体"/>
                <w:color w:val="auto"/>
                <w:highlight w:val="none"/>
              </w:rPr>
              <w:t xml:space="preserve">安全文明预案</w:t>
            </w:r>
            <w:r>
              <w:rPr>
                <w:rFonts w:hint="eastAsia" w:ascii="微软雅黑" w:hAnsi="微软雅黑" w:eastAsia="微软雅黑" w:cs="微软雅黑"/>
                <w:color w:val="auto"/>
                <w:highlight w:val="none"/>
              </w:rPr>
              <w:t xml:space="preserve">②</w:t>
            </w:r>
            <w:r>
              <w:rPr>
                <w:rFonts w:hint="eastAsia" w:ascii="宋体" w:hAnsi="宋体" w:cs="宋体"/>
                <w:color w:val="auto"/>
                <w:highlight w:val="none"/>
              </w:rPr>
              <w:t xml:space="preserve">安全文明保障措施</w:t>
            </w:r>
            <w:r>
              <w:rPr>
                <w:rFonts w:hint="eastAsia" w:ascii="微软雅黑" w:hAnsi="微软雅黑" w:eastAsia="微软雅黑" w:cs="微软雅黑"/>
                <w:color w:val="auto"/>
                <w:highlight w:val="none"/>
              </w:rPr>
              <w:t xml:space="preserve">③</w:t>
            </w:r>
            <w:r>
              <w:rPr>
                <w:rFonts w:hint="eastAsia" w:ascii="宋体" w:hAnsi="宋体" w:cs="宋体"/>
                <w:color w:val="auto"/>
                <w:highlight w:val="none"/>
              </w:rPr>
              <w:t xml:space="preserve">环卫作业安全管理措施</w:t>
            </w:r>
            <w:r>
              <w:rPr>
                <w:rFonts w:hint="eastAsia" w:ascii="微软雅黑" w:hAnsi="微软雅黑" w:eastAsia="微软雅黑" w:cs="微软雅黑"/>
                <w:color w:val="auto"/>
                <w:highlight w:val="none"/>
              </w:rPr>
              <w:t xml:space="preserve">④</w:t>
            </w:r>
            <w:r>
              <w:rPr>
                <w:rFonts w:hint="eastAsia" w:ascii="宋体" w:hAnsi="宋体" w:cs="宋体"/>
                <w:color w:val="auto"/>
                <w:highlight w:val="none"/>
              </w:rPr>
              <w:t xml:space="preserve">安全设施设备</w:t>
            </w:r>
            <w:r>
              <w:rPr>
                <w:rFonts w:hint="eastAsia" w:ascii="微软雅黑" w:hAnsi="微软雅黑" w:eastAsia="微软雅黑" w:cs="微软雅黑"/>
                <w:color w:val="auto"/>
                <w:highlight w:val="none"/>
              </w:rPr>
              <w:t xml:space="preserve">⑤</w:t>
            </w:r>
            <w:r>
              <w:rPr>
                <w:rFonts w:hint="eastAsia" w:ascii="宋体" w:hAnsi="宋体" w:cs="宋体"/>
                <w:color w:val="auto"/>
                <w:highlight w:val="none"/>
              </w:rPr>
              <w:t xml:space="preserve">安全检查记录等进行综合评分。</w:t>
            </w:r>
            <w:r/>
          </w:p>
          <w:p>
            <w:pPr>
              <w:widowControl/>
              <w:rPr>
                <w:rFonts w:hint="eastAsia" w:ascii="宋体" w:hAnsi="宋体" w:cs="宋体"/>
                <w:color w:val="auto"/>
                <w:highlight w:val="none"/>
              </w:rPr>
            </w:pPr>
            <w:r>
              <w:rPr>
                <w:rFonts w:hint="eastAsia" w:ascii="宋体" w:hAnsi="宋体" w:cs="宋体"/>
                <w:color w:val="auto"/>
                <w:highlight w:val="none"/>
              </w:rPr>
              <w:t xml:space="preserve">服务方案覆盖所有内容要点，方案清晰详实，科学合理，条理性和可操作性强，得8分；服务方案的内容要点比较清晰详实，方案较为清晰、科学、合理，有一定的可操作性和条理性得6分；服务方案的内容要点有一定缺失，方案不够清晰、科学、合理，可操作性和条理性一般的得4分；服务方案的内容要点缺失较多，方案缺乏条理性，可操作性不强，得2分；未提供不得分。</w:t>
            </w:r>
            <w:r/>
          </w:p>
        </w:tc>
        <w:tc>
          <w:tcPr>
            <w:tcW w:w="660"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8</w:t>
            </w:r>
            <w:r/>
          </w:p>
        </w:tc>
      </w:tr>
      <w:tr>
        <w:trPr>
          <w:trHeight w:val="567"/>
        </w:trPr>
        <w:tc>
          <w:tcPr>
            <w:tcW w:w="734" w:type="dxa"/>
            <w:vAlign w:val="center"/>
            <w:textDirection w:val="lrTb"/>
            <w:noWrap w:val="false"/>
          </w:tcPr>
          <w:p>
            <w:pPr>
              <w:rPr>
                <w:rFonts w:hint="eastAsia" w:ascii="宋体" w:hAnsi="宋体" w:cs="宋体"/>
                <w:color w:val="auto"/>
                <w:highlight w:val="none"/>
              </w:rPr>
            </w:pPr>
            <w:r>
              <w:rPr>
                <w:rFonts w:ascii="宋体" w:hAnsi="宋体" w:cs="宋体"/>
                <w:color w:val="auto"/>
                <w:highlight w:val="none"/>
              </w:rPr>
              <w:t xml:space="preserve">7</w:t>
            </w:r>
            <w:r/>
          </w:p>
        </w:tc>
        <w:tc>
          <w:tcPr>
            <w:gridSpan w:val="2"/>
            <w:tcW w:w="1743"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资料、档案（7分）</w:t>
            </w:r>
            <w:r/>
          </w:p>
          <w:p>
            <w:pPr>
              <w:rPr>
                <w:rFonts w:hint="eastAsia" w:ascii="宋体" w:hAnsi="宋体" w:cs="宋体"/>
                <w:color w:val="auto"/>
                <w:highlight w:val="none"/>
              </w:rPr>
            </w:pPr>
            <w:r>
              <w:rPr>
                <w:rFonts w:hint="eastAsia" w:ascii="宋体" w:hAnsi="宋体" w:cs="宋体"/>
                <w:color w:val="auto"/>
                <w:highlight w:val="none"/>
              </w:rPr>
            </w:r>
            <w:r/>
          </w:p>
        </w:tc>
        <w:tc>
          <w:tcPr>
            <w:tcW w:w="5565" w:type="dxa"/>
            <w:vAlign w:val="center"/>
            <w:textDirection w:val="lrTb"/>
            <w:noWrap w:val="false"/>
          </w:tcPr>
          <w:p>
            <w:pPr>
              <w:pStyle w:val="1106"/>
              <w:ind w:firstLine="0"/>
              <w:rPr>
                <w:rFonts w:hint="eastAsia" w:ascii="宋体" w:hAnsi="宋体" w:cs="宋体"/>
                <w:color w:val="auto"/>
                <w:szCs w:val="24"/>
                <w:highlight w:val="none"/>
                <w:lang w:val="en-US"/>
              </w:rPr>
            </w:pPr>
            <w:r>
              <w:rPr>
                <w:rFonts w:hint="eastAsia" w:ascii="宋体" w:hAnsi="宋体" w:cs="宋体"/>
                <w:color w:val="auto"/>
                <w:szCs w:val="24"/>
                <w:highlight w:val="none"/>
                <w:lang w:val="en-US"/>
              </w:rPr>
              <w:t xml:space="preserve">根据响应单位提供的资料、主要内容包括：①档案管理施及保障方案②资料形成③规范性管理④日常的收集整理⑤日常的保存等进行综合评分。</w:t>
            </w:r>
            <w:r/>
          </w:p>
          <w:p>
            <w:pPr>
              <w:pStyle w:val="1106"/>
              <w:ind w:firstLine="0"/>
              <w:rPr>
                <w:rFonts w:hint="eastAsia" w:ascii="宋体" w:hAnsi="宋体" w:cs="宋体"/>
                <w:color w:val="auto"/>
                <w:szCs w:val="24"/>
                <w:highlight w:val="none"/>
                <w:lang w:val="en-US"/>
              </w:rPr>
            </w:pPr>
            <w:r>
              <w:rPr>
                <w:rFonts w:hint="eastAsia" w:ascii="宋体" w:hAnsi="宋体" w:cs="宋体"/>
                <w:color w:val="auto"/>
                <w:szCs w:val="24"/>
                <w:highlight w:val="none"/>
                <w:lang w:val="en-US"/>
              </w:rPr>
              <w:t xml:space="preserve">服务方案覆盖所有内容要点，方案清晰详实，科学合理，条理性和可操作性强，得7分；服务方案的内容要点比较清晰详实，方案较为清晰、科学、合理，有一定的可操作性和条理性得5分；服务方案的内容要点有一定缺失，方案不够清晰、科学、合理，可操作性和条理性一般的得2分；服务方案的内容要点缺失较多，方案缺乏条理性，可操作性不强，得1分；未提供不得分。</w:t>
            </w:r>
            <w:r/>
          </w:p>
        </w:tc>
        <w:tc>
          <w:tcPr>
            <w:tcW w:w="660" w:type="dxa"/>
            <w:vAlign w:val="center"/>
            <w:textDirection w:val="lrTb"/>
            <w:noWrap w:val="false"/>
          </w:tcPr>
          <w:p>
            <w:pPr>
              <w:pStyle w:val="1106"/>
              <w:ind w:firstLine="0"/>
              <w:rPr>
                <w:rFonts w:hint="eastAsia" w:ascii="宋体" w:hAnsi="宋体" w:cs="宋体"/>
                <w:color w:val="auto"/>
                <w:szCs w:val="24"/>
                <w:highlight w:val="none"/>
                <w:lang w:val="en-US"/>
              </w:rPr>
            </w:pPr>
            <w:r>
              <w:rPr>
                <w:rFonts w:hint="eastAsia" w:ascii="宋体" w:hAnsi="宋体" w:cs="宋体"/>
                <w:color w:val="auto"/>
                <w:szCs w:val="24"/>
                <w:highlight w:val="none"/>
                <w:lang w:val="en-US"/>
              </w:rPr>
              <w:t xml:space="preserve">7</w:t>
            </w:r>
            <w:r/>
          </w:p>
        </w:tc>
      </w:tr>
      <w:tr>
        <w:trPr>
          <w:trHeight w:val="567"/>
        </w:trPr>
        <w:tc>
          <w:tcPr>
            <w:tcW w:w="734" w:type="dxa"/>
            <w:vAlign w:val="center"/>
            <w:textDirection w:val="lrTb"/>
            <w:noWrap w:val="false"/>
          </w:tcPr>
          <w:p>
            <w:pPr>
              <w:rPr>
                <w:rFonts w:hint="eastAsia" w:ascii="宋体" w:hAnsi="宋体" w:cs="宋体"/>
                <w:b/>
                <w:bCs/>
                <w:color w:val="auto"/>
                <w:highlight w:val="none"/>
              </w:rPr>
            </w:pPr>
            <w:r>
              <w:rPr>
                <w:rFonts w:hint="eastAsia" w:ascii="宋体" w:hAnsi="宋体" w:cs="宋体"/>
                <w:b/>
                <w:bCs/>
                <w:color w:val="auto"/>
                <w:highlight w:val="none"/>
              </w:rPr>
              <w:t xml:space="preserve">二</w:t>
            </w:r>
            <w:r/>
          </w:p>
        </w:tc>
        <w:tc>
          <w:tcPr>
            <w:gridSpan w:val="3"/>
            <w:tcW w:w="7308" w:type="dxa"/>
            <w:vAlign w:val="center"/>
            <w:textDirection w:val="lrTb"/>
            <w:noWrap w:val="false"/>
          </w:tcPr>
          <w:p>
            <w:pPr>
              <w:pStyle w:val="1106"/>
              <w:ind w:firstLine="0"/>
              <w:rPr>
                <w:rFonts w:hint="eastAsia" w:ascii="宋体" w:hAnsi="宋体" w:cs="宋体"/>
                <w:b/>
                <w:bCs/>
                <w:color w:val="auto"/>
                <w:szCs w:val="24"/>
                <w:highlight w:val="none"/>
              </w:rPr>
            </w:pPr>
            <w:r>
              <w:rPr>
                <w:rFonts w:hint="eastAsia" w:ascii="宋体" w:hAnsi="宋体" w:cs="宋体"/>
                <w:b/>
                <w:bCs/>
                <w:color w:val="auto"/>
                <w:szCs w:val="24"/>
                <w:highlight w:val="none"/>
              </w:rPr>
              <w:t xml:space="preserve">服务人员综合素质比较（26分）</w:t>
            </w:r>
            <w:r/>
          </w:p>
        </w:tc>
        <w:tc>
          <w:tcPr>
            <w:tcW w:w="660" w:type="dxa"/>
            <w:vAlign w:val="center"/>
            <w:textDirection w:val="lrTb"/>
            <w:noWrap w:val="false"/>
          </w:tcPr>
          <w:p>
            <w:pPr>
              <w:pStyle w:val="1106"/>
              <w:ind w:firstLine="0"/>
              <w:rPr>
                <w:rFonts w:hint="eastAsia" w:ascii="宋体" w:hAnsi="宋体" w:cs="宋体"/>
                <w:color w:val="auto"/>
                <w:szCs w:val="24"/>
                <w:highlight w:val="none"/>
                <w:lang w:val="en-US"/>
              </w:rPr>
            </w:pPr>
            <w:r>
              <w:rPr>
                <w:rFonts w:hint="eastAsia" w:ascii="宋体" w:hAnsi="宋体" w:cs="宋体"/>
                <w:color w:val="auto"/>
                <w:szCs w:val="24"/>
                <w:highlight w:val="none"/>
                <w:lang w:val="en-US"/>
              </w:rPr>
            </w:r>
            <w:r/>
          </w:p>
        </w:tc>
      </w:tr>
      <w:tr>
        <w:trPr>
          <w:trHeight w:val="567"/>
        </w:trPr>
        <w:tc>
          <w:tcPr>
            <w:tcW w:w="734"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1</w:t>
            </w:r>
            <w:r/>
          </w:p>
        </w:tc>
        <w:tc>
          <w:tcPr>
            <w:tcW w:w="1548" w:type="dxa"/>
            <w:vAlign w:val="center"/>
            <w:textDirection w:val="lrTb"/>
            <w:noWrap w:val="false"/>
          </w:tcPr>
          <w:p>
            <w:pPr>
              <w:pStyle w:val="1106"/>
              <w:ind w:firstLine="0"/>
              <w:rPr>
                <w:rFonts w:hint="eastAsia" w:ascii="宋体" w:hAnsi="宋体" w:cs="宋体"/>
                <w:color w:val="auto"/>
                <w:szCs w:val="24"/>
                <w:highlight w:val="none"/>
              </w:rPr>
            </w:pPr>
            <w:r>
              <w:rPr>
                <w:rFonts w:hint="eastAsia" w:ascii="宋体" w:hAnsi="宋体" w:cs="宋体"/>
                <w:color w:val="auto"/>
                <w:szCs w:val="24"/>
                <w:highlight w:val="none"/>
              </w:rPr>
              <w:t xml:space="preserve">针对本项目所配备项目管理人</w:t>
            </w:r>
            <w:r>
              <w:rPr>
                <w:rFonts w:hint="eastAsia" w:ascii="宋体" w:hAnsi="宋体" w:cs="宋体"/>
                <w:color w:val="auto"/>
                <w:szCs w:val="24"/>
                <w:highlight w:val="none"/>
                <w:lang w:val="en-US" w:eastAsia="zh-CN"/>
              </w:rPr>
              <w:t xml:space="preserve">比较</w:t>
            </w:r>
            <w:r>
              <w:rPr>
                <w:rFonts w:hint="eastAsia" w:ascii="宋体" w:hAnsi="宋体" w:cs="宋体"/>
                <w:color w:val="auto"/>
                <w:szCs w:val="24"/>
                <w:highlight w:val="none"/>
              </w:rPr>
              <w:t xml:space="preserve">（8分）</w:t>
            </w:r>
            <w:r/>
          </w:p>
          <w:p>
            <w:pPr>
              <w:pStyle w:val="1106"/>
              <w:ind w:firstLine="0"/>
              <w:rPr>
                <w:rFonts w:hint="eastAsia" w:ascii="宋体" w:hAnsi="宋体" w:cs="宋体"/>
                <w:color w:val="auto"/>
                <w:szCs w:val="24"/>
                <w:highlight w:val="none"/>
              </w:rPr>
            </w:pPr>
            <w:r>
              <w:rPr>
                <w:rFonts w:hint="eastAsia" w:ascii="宋体" w:hAnsi="宋体" w:cs="宋体"/>
                <w:color w:val="auto"/>
                <w:szCs w:val="24"/>
                <w:highlight w:val="none"/>
              </w:rPr>
            </w:r>
            <w:r/>
          </w:p>
        </w:tc>
        <w:tc>
          <w:tcPr>
            <w:gridSpan w:val="2"/>
            <w:tcW w:w="5760" w:type="dxa"/>
            <w:vAlign w:val="center"/>
            <w:textDirection w:val="lrTb"/>
            <w:noWrap w:val="false"/>
          </w:tcPr>
          <w:p>
            <w:pPr>
              <w:pStyle w:val="1106"/>
              <w:ind w:firstLine="0"/>
              <w:rPr>
                <w:rFonts w:hint="eastAsia" w:ascii="宋体" w:hAnsi="宋体" w:cs="宋体"/>
                <w:color w:val="auto"/>
                <w:szCs w:val="24"/>
                <w:highlight w:val="none"/>
              </w:rPr>
            </w:pPr>
            <w:r>
              <w:rPr>
                <w:rFonts w:hint="eastAsia" w:ascii="宋体" w:hAnsi="宋体" w:cs="宋体"/>
                <w:color w:val="auto"/>
                <w:szCs w:val="24"/>
                <w:highlight w:val="none"/>
              </w:rPr>
              <w:t xml:space="preserve">（1）项目管理人具有本科（含）及以上学历的得2分；</w:t>
            </w:r>
            <w:r/>
          </w:p>
          <w:p>
            <w:pPr>
              <w:pStyle w:val="1106"/>
              <w:ind w:firstLine="0"/>
              <w:rPr>
                <w:rFonts w:hint="eastAsia" w:ascii="宋体" w:hAnsi="宋体" w:cs="宋体"/>
                <w:color w:val="auto"/>
                <w:szCs w:val="24"/>
                <w:highlight w:val="none"/>
              </w:rPr>
            </w:pPr>
            <w:r>
              <w:rPr>
                <w:rFonts w:hint="eastAsia" w:ascii="宋体" w:hAnsi="宋体" w:cs="宋体"/>
                <w:color w:val="auto"/>
                <w:szCs w:val="24"/>
                <w:highlight w:val="none"/>
              </w:rPr>
              <w:t xml:space="preserve">（2）具有相关行业项目经理培训合格证的得2分；</w:t>
            </w:r>
            <w:r/>
          </w:p>
          <w:p>
            <w:pPr>
              <w:pStyle w:val="1106"/>
              <w:ind w:firstLine="0"/>
              <w:rPr>
                <w:rFonts w:hint="eastAsia" w:ascii="宋体" w:hAnsi="宋体" w:cs="宋体"/>
                <w:color w:val="auto"/>
                <w:szCs w:val="24"/>
                <w:highlight w:val="none"/>
              </w:rPr>
            </w:pPr>
            <w:r>
              <w:rPr>
                <w:rFonts w:hint="eastAsia" w:ascii="宋体" w:hAnsi="宋体" w:cs="宋体"/>
                <w:color w:val="auto"/>
                <w:szCs w:val="24"/>
                <w:highlight w:val="none"/>
              </w:rPr>
              <w:t xml:space="preserve">（3）具有救护培训合格证书的得2分；</w:t>
            </w:r>
            <w:r/>
          </w:p>
          <w:p>
            <w:pPr>
              <w:pStyle w:val="1106"/>
              <w:ind w:firstLine="0"/>
              <w:rPr>
                <w:rFonts w:hint="eastAsia" w:ascii="宋体" w:hAnsi="宋体" w:cs="宋体"/>
                <w:color w:val="auto"/>
                <w:szCs w:val="24"/>
                <w:highlight w:val="none"/>
              </w:rPr>
            </w:pPr>
            <w:r>
              <w:rPr>
                <w:rFonts w:hint="eastAsia" w:ascii="宋体" w:hAnsi="宋体" w:cs="宋体"/>
                <w:color w:val="auto"/>
                <w:szCs w:val="24"/>
                <w:highlight w:val="none"/>
              </w:rPr>
              <w:t xml:space="preserve">（4）具有安全员证的得2分。</w:t>
            </w:r>
            <w:r/>
          </w:p>
          <w:p>
            <w:pPr>
              <w:pStyle w:val="1106"/>
              <w:ind w:firstLine="0"/>
              <w:rPr>
                <w:rFonts w:hint="eastAsia" w:ascii="宋体" w:hAnsi="宋体" w:cs="宋体"/>
                <w:color w:val="auto"/>
                <w:szCs w:val="24"/>
                <w:highlight w:val="none"/>
              </w:rPr>
            </w:pPr>
            <w:r>
              <w:rPr>
                <w:rFonts w:hint="eastAsia" w:ascii="宋体" w:hAnsi="宋体" w:cs="宋体"/>
                <w:color w:val="auto"/>
                <w:szCs w:val="24"/>
                <w:highlight w:val="none"/>
              </w:rPr>
              <w:t xml:space="preserve">注：响应文件中提供该人员证书、证明材料复印件及社保部门出具的磋商响应单位为其缴纳的近3个月社保证明复印件</w:t>
            </w:r>
            <w:bookmarkStart w:id="44" w:name="OLE_LINK5"/>
            <w:r>
              <w:rPr>
                <w:rFonts w:hint="eastAsia" w:ascii="宋体" w:hAnsi="宋体" w:cs="宋体"/>
                <w:color w:val="auto"/>
                <w:szCs w:val="24"/>
                <w:highlight w:val="none"/>
              </w:rPr>
              <w:t xml:space="preserve">并加盖磋商响应单位公章</w:t>
            </w:r>
            <w:bookmarkEnd w:id="44"/>
            <w:r>
              <w:rPr>
                <w:rFonts w:hint="eastAsia" w:ascii="宋体" w:hAnsi="宋体" w:cs="宋体"/>
                <w:color w:val="auto"/>
                <w:szCs w:val="24"/>
                <w:highlight w:val="none"/>
              </w:rPr>
              <w:t xml:space="preserve">，否则不得分。</w:t>
            </w:r>
            <w:r/>
          </w:p>
        </w:tc>
        <w:tc>
          <w:tcPr>
            <w:tcW w:w="660" w:type="dxa"/>
            <w:vAlign w:val="center"/>
            <w:textDirection w:val="lrTb"/>
            <w:noWrap w:val="false"/>
          </w:tcPr>
          <w:p>
            <w:pPr>
              <w:pStyle w:val="1106"/>
              <w:ind w:firstLine="0"/>
              <w:rPr>
                <w:rFonts w:hint="eastAsia" w:ascii="宋体" w:hAnsi="宋体" w:cs="宋体"/>
                <w:color w:val="auto"/>
                <w:szCs w:val="24"/>
                <w:highlight w:val="none"/>
                <w:lang w:val="en-US"/>
              </w:rPr>
            </w:pPr>
            <w:r>
              <w:rPr>
                <w:rFonts w:hint="eastAsia" w:ascii="宋体" w:hAnsi="宋体" w:cs="宋体"/>
                <w:color w:val="auto"/>
                <w:szCs w:val="24"/>
                <w:highlight w:val="none"/>
                <w:lang w:val="en-US"/>
              </w:rPr>
              <w:t xml:space="preserve">8</w:t>
            </w:r>
            <w:r/>
          </w:p>
        </w:tc>
      </w:tr>
      <w:tr>
        <w:trPr>
          <w:trHeight w:val="567"/>
        </w:trPr>
        <w:tc>
          <w:tcPr>
            <w:tcW w:w="734"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2</w:t>
            </w:r>
            <w:r/>
          </w:p>
        </w:tc>
        <w:tc>
          <w:tcPr>
            <w:tcW w:w="1548" w:type="dxa"/>
            <w:vAlign w:val="center"/>
            <w:textDirection w:val="lrTb"/>
            <w:noWrap w:val="false"/>
          </w:tcPr>
          <w:p>
            <w:pPr>
              <w:pStyle w:val="1106"/>
              <w:ind w:firstLine="0"/>
              <w:rPr>
                <w:rFonts w:hint="eastAsia" w:ascii="宋体" w:hAnsi="宋体" w:cs="宋体"/>
                <w:color w:val="auto"/>
                <w:szCs w:val="24"/>
                <w:highlight w:val="none"/>
              </w:rPr>
            </w:pPr>
            <w:r>
              <w:rPr>
                <w:rFonts w:hint="eastAsia" w:ascii="宋体" w:hAnsi="宋体" w:cs="宋体"/>
                <w:color w:val="auto"/>
                <w:szCs w:val="24"/>
                <w:highlight w:val="none"/>
              </w:rPr>
              <w:t xml:space="preserve">针对本项目</w:t>
            </w:r>
            <w:r>
              <w:rPr>
                <w:rFonts w:hint="eastAsia" w:ascii="宋体" w:hAnsi="宋体" w:cs="宋体"/>
                <w:color w:val="auto"/>
                <w:szCs w:val="24"/>
                <w:highlight w:val="none"/>
                <w:lang w:val="en-US" w:eastAsia="zh-CN"/>
              </w:rPr>
              <w:t xml:space="preserve">其他</w:t>
            </w:r>
            <w:r>
              <w:rPr>
                <w:rFonts w:hint="eastAsia" w:ascii="宋体" w:hAnsi="宋体" w:cs="宋体"/>
                <w:color w:val="auto"/>
                <w:szCs w:val="24"/>
                <w:highlight w:val="none"/>
              </w:rPr>
              <w:t xml:space="preserve">服务人员</w:t>
            </w:r>
            <w:r>
              <w:rPr>
                <w:rFonts w:hint="eastAsia" w:ascii="宋体" w:hAnsi="宋体" w:cs="宋体"/>
                <w:b w:val="0"/>
                <w:bCs w:val="0"/>
                <w:color w:val="auto"/>
                <w:szCs w:val="24"/>
                <w:highlight w:val="none"/>
              </w:rPr>
              <w:t xml:space="preserve">(项目管理人</w:t>
            </w:r>
            <w:r>
              <w:rPr>
                <w:rFonts w:hint="eastAsia" w:ascii="宋体" w:hAnsi="宋体" w:cs="宋体"/>
                <w:b w:val="0"/>
                <w:bCs w:val="0"/>
                <w:color w:val="auto"/>
                <w:szCs w:val="24"/>
                <w:highlight w:val="none"/>
                <w:lang w:val="en-US" w:eastAsia="zh-CN"/>
              </w:rPr>
              <w:t xml:space="preserve">除外</w:t>
            </w:r>
            <w:r>
              <w:rPr>
                <w:rFonts w:hint="eastAsia" w:ascii="宋体" w:hAnsi="宋体" w:cs="宋体"/>
                <w:b w:val="0"/>
                <w:bCs w:val="0"/>
                <w:color w:val="auto"/>
                <w:szCs w:val="24"/>
                <w:highlight w:val="none"/>
              </w:rPr>
              <w:t xml:space="preserve">)</w:t>
            </w:r>
            <w:r>
              <w:rPr>
                <w:rFonts w:hint="eastAsia" w:ascii="宋体" w:hAnsi="宋体" w:cs="宋体"/>
                <w:color w:val="auto"/>
                <w:szCs w:val="24"/>
                <w:highlight w:val="none"/>
              </w:rPr>
              <w:t xml:space="preserve">比较（18分）</w:t>
            </w:r>
            <w:r/>
          </w:p>
          <w:p>
            <w:pPr>
              <w:pStyle w:val="1106"/>
              <w:ind w:firstLine="0"/>
              <w:rPr>
                <w:rFonts w:hint="eastAsia" w:ascii="宋体" w:hAnsi="宋体" w:cs="宋体"/>
                <w:color w:val="auto"/>
                <w:szCs w:val="24"/>
                <w:highlight w:val="none"/>
              </w:rPr>
            </w:pPr>
            <w:r>
              <w:rPr>
                <w:rFonts w:hint="eastAsia" w:ascii="宋体" w:hAnsi="宋体" w:cs="宋体"/>
                <w:color w:val="auto"/>
                <w:szCs w:val="24"/>
                <w:highlight w:val="none"/>
              </w:rPr>
            </w:r>
            <w:r/>
          </w:p>
        </w:tc>
        <w:tc>
          <w:tcPr>
            <w:gridSpan w:val="2"/>
            <w:tcW w:w="5760" w:type="dxa"/>
            <w:vAlign w:val="center"/>
            <w:textDirection w:val="lrTb"/>
            <w:noWrap w:val="false"/>
          </w:tcPr>
          <w:p>
            <w:pPr>
              <w:pStyle w:val="1106"/>
              <w:ind w:firstLine="0"/>
              <w:rPr>
                <w:rFonts w:hint="eastAsia" w:ascii="宋体" w:hAnsi="宋体" w:cs="宋体"/>
                <w:color w:val="auto"/>
                <w:szCs w:val="24"/>
                <w:highlight w:val="none"/>
              </w:rPr>
            </w:pPr>
            <w:r>
              <w:rPr>
                <w:rFonts w:hint="eastAsia" w:ascii="宋体" w:hAnsi="宋体" w:cs="宋体"/>
                <w:color w:val="auto"/>
                <w:szCs w:val="24"/>
                <w:highlight w:val="none"/>
              </w:rPr>
              <w:t xml:space="preserve">（1）本项目服务人员具备内河船舶船员适任证书（驾驶证），在满足采购需求</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人基础上，</w:t>
            </w:r>
            <w:r>
              <w:rPr>
                <w:rFonts w:hint="eastAsia" w:ascii="宋体" w:hAnsi="宋体" w:cs="宋体"/>
                <w:color w:val="auto"/>
                <w:szCs w:val="24"/>
                <w:highlight w:val="none"/>
                <w:lang w:val="en-US"/>
              </w:rPr>
              <w:t xml:space="preserve">另外</w:t>
            </w:r>
            <w:r>
              <w:rPr>
                <w:rFonts w:hint="eastAsia" w:ascii="宋体" w:hAnsi="宋体" w:cs="宋体"/>
                <w:color w:val="auto"/>
                <w:szCs w:val="24"/>
                <w:highlight w:val="none"/>
              </w:rPr>
              <w:t xml:space="preserve">增加1人得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分，最高得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p>
          <w:p>
            <w:pPr>
              <w:pStyle w:val="1106"/>
              <w:ind w:firstLine="0"/>
              <w:rPr>
                <w:rFonts w:hint="eastAsia" w:ascii="宋体" w:hAnsi="宋体" w:cs="宋体"/>
                <w:color w:val="auto"/>
                <w:szCs w:val="24"/>
                <w:highlight w:val="none"/>
              </w:rPr>
            </w:pPr>
            <w:r>
              <w:rPr>
                <w:rFonts w:hint="eastAsia" w:ascii="宋体" w:hAnsi="宋体" w:cs="宋体"/>
                <w:color w:val="auto"/>
                <w:szCs w:val="24"/>
                <w:highlight w:val="none"/>
              </w:rPr>
              <w:t xml:space="preserve">（2）本项目服务人员具有救护员证的，</w:t>
            </w:r>
            <w:r>
              <w:rPr>
                <w:rFonts w:hint="eastAsia" w:ascii="宋体" w:hAnsi="宋体" w:cs="宋体"/>
                <w:color w:val="auto"/>
                <w:szCs w:val="24"/>
                <w:highlight w:val="none"/>
                <w:lang w:val="en-US"/>
              </w:rPr>
              <w:t xml:space="preserve">每提供</w:t>
            </w:r>
            <w:r>
              <w:rPr>
                <w:rFonts w:hint="eastAsia" w:ascii="宋体" w:hAnsi="宋体" w:cs="宋体"/>
                <w:color w:val="auto"/>
                <w:szCs w:val="24"/>
                <w:highlight w:val="none"/>
              </w:rPr>
              <w:t xml:space="preserve">一人得2分，最高得8分；</w:t>
            </w:r>
            <w:r/>
          </w:p>
          <w:p>
            <w:pPr>
              <w:pStyle w:val="1106"/>
              <w:ind w:firstLine="0"/>
              <w:rPr>
                <w:rFonts w:hint="eastAsia" w:ascii="宋体" w:hAnsi="宋体" w:cs="宋体"/>
                <w:color w:val="auto"/>
                <w:szCs w:val="24"/>
                <w:highlight w:val="none"/>
              </w:rPr>
            </w:pP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）本项目服务人员具有安全员证</w:t>
            </w:r>
            <w:r>
              <w:rPr>
                <w:rFonts w:hint="eastAsia" w:ascii="宋体" w:hAnsi="宋体" w:cs="宋体"/>
                <w:color w:val="auto"/>
                <w:szCs w:val="24"/>
                <w:highlight w:val="none"/>
                <w:lang w:val="en-US"/>
              </w:rPr>
              <w:t xml:space="preserve">的，每提供</w:t>
            </w:r>
            <w:r>
              <w:rPr>
                <w:rFonts w:hint="eastAsia" w:ascii="宋体" w:hAnsi="宋体" w:cs="宋体"/>
                <w:color w:val="auto"/>
                <w:szCs w:val="24"/>
                <w:highlight w:val="none"/>
              </w:rPr>
              <w:t xml:space="preserve">一</w:t>
            </w:r>
            <w:r>
              <w:rPr>
                <w:rFonts w:hint="eastAsia" w:ascii="宋体" w:hAnsi="宋体" w:cs="宋体"/>
                <w:color w:val="auto"/>
                <w:szCs w:val="24"/>
                <w:highlight w:val="none"/>
                <w:lang w:val="en-US"/>
              </w:rPr>
              <w:t xml:space="preserve">人</w:t>
            </w:r>
            <w:r>
              <w:rPr>
                <w:rFonts w:hint="eastAsia" w:ascii="宋体" w:hAnsi="宋体" w:cs="宋体"/>
                <w:color w:val="auto"/>
                <w:szCs w:val="24"/>
                <w:highlight w:val="none"/>
              </w:rPr>
              <w:t xml:space="preserve">得2分,最高得6分。</w:t>
            </w:r>
            <w:r/>
          </w:p>
          <w:p>
            <w:pPr>
              <w:pStyle w:val="1106"/>
              <w:ind w:firstLine="0"/>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注：</w:t>
            </w:r>
            <w:r>
              <w:rPr>
                <w:rFonts w:hint="eastAsia" w:ascii="宋体" w:hAnsi="宋体" w:cs="宋体"/>
                <w:color w:val="auto"/>
                <w:szCs w:val="24"/>
                <w:highlight w:val="none"/>
                <w:lang w:val="en-US" w:eastAsia="zh-CN"/>
              </w:rPr>
              <w:t xml:space="preserve">上述人员一人多证的不重复得分，</w:t>
            </w:r>
            <w:r>
              <w:rPr>
                <w:rFonts w:hint="eastAsia" w:ascii="宋体" w:hAnsi="宋体" w:cs="宋体"/>
                <w:color w:val="auto"/>
                <w:szCs w:val="24"/>
                <w:highlight w:val="none"/>
              </w:rPr>
              <w:t xml:space="preserve">响应文件中提供证书</w:t>
            </w:r>
            <w:r>
              <w:rPr>
                <w:rFonts w:hint="eastAsia" w:ascii="宋体" w:hAnsi="宋体" w:cs="宋体"/>
                <w:color w:val="auto"/>
                <w:szCs w:val="24"/>
                <w:highlight w:val="none"/>
                <w:lang w:val="en-US" w:eastAsia="zh-CN"/>
              </w:rPr>
              <w:t xml:space="preserve">的复印件</w:t>
            </w:r>
            <w:r>
              <w:rPr>
                <w:rFonts w:hint="eastAsia" w:ascii="宋体" w:hAnsi="宋体" w:cs="宋体"/>
                <w:color w:val="auto"/>
                <w:szCs w:val="24"/>
                <w:highlight w:val="none"/>
              </w:rPr>
              <w:t xml:space="preserve">并加盖磋商响应单位公章</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否则不得分。</w:t>
            </w:r>
            <w:r/>
          </w:p>
        </w:tc>
        <w:tc>
          <w:tcPr>
            <w:tcW w:w="660" w:type="dxa"/>
            <w:vAlign w:val="center"/>
            <w:textDirection w:val="lrTb"/>
            <w:noWrap w:val="false"/>
          </w:tcPr>
          <w:p>
            <w:pPr>
              <w:pStyle w:val="1106"/>
              <w:ind w:firstLine="0"/>
              <w:rPr>
                <w:rFonts w:hint="eastAsia" w:ascii="宋体" w:hAnsi="宋体" w:cs="宋体"/>
                <w:color w:val="auto"/>
                <w:szCs w:val="24"/>
                <w:highlight w:val="none"/>
                <w:lang w:val="en-US"/>
              </w:rPr>
            </w:pPr>
            <w:r>
              <w:rPr>
                <w:rFonts w:hint="eastAsia" w:ascii="宋体" w:hAnsi="宋体" w:cs="宋体"/>
                <w:color w:val="auto"/>
                <w:szCs w:val="24"/>
                <w:highlight w:val="none"/>
                <w:lang w:val="en-US"/>
              </w:rPr>
              <w:t xml:space="preserve">18</w:t>
            </w:r>
            <w:r/>
          </w:p>
        </w:tc>
      </w:tr>
      <w:tr>
        <w:trPr>
          <w:trHeight w:val="567"/>
        </w:trPr>
        <w:tc>
          <w:tcPr>
            <w:tcW w:w="734" w:type="dxa"/>
            <w:vAlign w:val="center"/>
            <w:textDirection w:val="lrTb"/>
            <w:noWrap w:val="false"/>
          </w:tcPr>
          <w:p>
            <w:pPr>
              <w:rPr>
                <w:rFonts w:hint="eastAsia" w:ascii="宋体" w:hAnsi="宋体" w:cs="宋体"/>
                <w:b/>
                <w:bCs/>
                <w:color w:val="auto"/>
                <w:highlight w:val="none"/>
              </w:rPr>
            </w:pPr>
            <w:r>
              <w:rPr>
                <w:rFonts w:hint="eastAsia" w:ascii="宋体" w:hAnsi="宋体" w:cs="宋体"/>
                <w:b/>
                <w:bCs/>
                <w:color w:val="auto"/>
                <w:highlight w:val="none"/>
              </w:rPr>
              <w:t xml:space="preserve">三</w:t>
            </w:r>
            <w:r/>
          </w:p>
        </w:tc>
        <w:tc>
          <w:tcPr>
            <w:gridSpan w:val="3"/>
            <w:tcW w:w="7308" w:type="dxa"/>
            <w:vAlign w:val="center"/>
            <w:textDirection w:val="lrTb"/>
            <w:noWrap w:val="false"/>
          </w:tcPr>
          <w:p>
            <w:pPr>
              <w:pStyle w:val="1106"/>
              <w:ind w:firstLine="0"/>
              <w:rPr>
                <w:rFonts w:hint="eastAsia" w:ascii="宋体" w:hAnsi="宋体"/>
                <w:b/>
                <w:bCs/>
                <w:color w:val="auto"/>
                <w:szCs w:val="24"/>
                <w:highlight w:val="none"/>
                <w:lang w:val="en-US"/>
              </w:rPr>
            </w:pPr>
            <w:r>
              <w:rPr>
                <w:rFonts w:hint="eastAsia" w:ascii="宋体" w:hAnsi="宋体" w:cs="宋体"/>
                <w:b/>
                <w:bCs/>
                <w:color w:val="auto"/>
                <w:highlight w:val="none"/>
                <w:lang w:val="en-US"/>
              </w:rPr>
              <w:t xml:space="preserve">供应商</w:t>
            </w:r>
            <w:r>
              <w:rPr>
                <w:rFonts w:hint="eastAsia" w:ascii="宋体" w:hAnsi="宋体" w:cs="宋体"/>
                <w:b/>
                <w:bCs/>
                <w:color w:val="auto"/>
                <w:highlight w:val="none"/>
              </w:rPr>
              <w:t xml:space="preserve">综合评价（</w:t>
            </w: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分）</w:t>
            </w:r>
            <w:r/>
          </w:p>
        </w:tc>
        <w:tc>
          <w:tcPr>
            <w:tcW w:w="660" w:type="dxa"/>
            <w:vAlign w:val="center"/>
            <w:textDirection w:val="lrTb"/>
            <w:noWrap w:val="false"/>
          </w:tcPr>
          <w:p>
            <w:pPr>
              <w:pStyle w:val="1106"/>
              <w:ind w:firstLine="0"/>
              <w:rPr>
                <w:rFonts w:hint="eastAsia" w:ascii="宋体" w:hAnsi="宋体" w:cs="宋体"/>
                <w:color w:val="auto"/>
                <w:szCs w:val="24"/>
                <w:highlight w:val="none"/>
              </w:rPr>
            </w:pPr>
            <w:r>
              <w:rPr>
                <w:rFonts w:hint="eastAsia" w:ascii="宋体" w:hAnsi="宋体" w:cs="宋体"/>
                <w:color w:val="auto"/>
                <w:szCs w:val="24"/>
                <w:highlight w:val="none"/>
              </w:rPr>
            </w:r>
            <w:r/>
          </w:p>
        </w:tc>
      </w:tr>
      <w:tr>
        <w:trPr>
          <w:trHeight w:val="567"/>
        </w:trPr>
        <w:tc>
          <w:tcPr>
            <w:tcW w:w="734"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1</w:t>
            </w:r>
            <w:r/>
          </w:p>
        </w:tc>
        <w:tc>
          <w:tcPr>
            <w:gridSpan w:val="3"/>
            <w:tcW w:w="7308" w:type="dxa"/>
            <w:vAlign w:val="center"/>
            <w:textDirection w:val="lrTb"/>
            <w:noWrap w:val="false"/>
          </w:tcPr>
          <w:p>
            <w:pPr>
              <w:pStyle w:val="1106"/>
              <w:ind w:firstLine="0"/>
              <w:rPr>
                <w:rFonts w:hint="eastAsia" w:ascii="宋体" w:hAnsi="宋体"/>
                <w:color w:val="auto"/>
                <w:szCs w:val="24"/>
                <w:highlight w:val="none"/>
                <w:lang w:val="en-US"/>
              </w:rPr>
            </w:pPr>
            <w:r>
              <w:rPr>
                <w:rFonts w:hint="eastAsia" w:ascii="宋体" w:hAnsi="宋体"/>
                <w:color w:val="auto"/>
                <w:szCs w:val="24"/>
                <w:highlight w:val="none"/>
                <w:lang w:val="en-US"/>
              </w:rPr>
              <w:t xml:space="preserve">具有有效期内的质量管理体系认证、环境管理体系认证、职业健康管理体系认证，每</w:t>
            </w:r>
            <w:r>
              <w:rPr>
                <w:rFonts w:hint="eastAsia" w:ascii="宋体" w:hAnsi="宋体"/>
                <w:color w:val="auto"/>
                <w:szCs w:val="24"/>
                <w:highlight w:val="none"/>
                <w:lang w:val="en-US" w:eastAsia="zh-CN"/>
              </w:rPr>
              <w:t xml:space="preserve">提供一</w:t>
            </w:r>
            <w:r>
              <w:rPr>
                <w:rFonts w:hint="eastAsia" w:ascii="宋体" w:hAnsi="宋体"/>
                <w:color w:val="auto"/>
                <w:szCs w:val="24"/>
                <w:highlight w:val="none"/>
                <w:lang w:val="en-US"/>
              </w:rPr>
              <w:t xml:space="preserve">项1分，最高得3分。</w:t>
            </w:r>
            <w:r/>
          </w:p>
          <w:p>
            <w:pPr>
              <w:pStyle w:val="1106"/>
              <w:ind w:firstLine="0"/>
              <w:rPr>
                <w:rFonts w:hint="eastAsia" w:ascii="宋体" w:hAnsi="宋体"/>
                <w:color w:val="auto"/>
                <w:szCs w:val="24"/>
                <w:highlight w:val="none"/>
                <w:lang w:val="en-US"/>
              </w:rPr>
            </w:pPr>
            <w:r>
              <w:rPr>
                <w:rFonts w:hint="eastAsia" w:ascii="宋体" w:hAnsi="宋体"/>
                <w:color w:val="auto"/>
                <w:szCs w:val="24"/>
                <w:highlight w:val="none"/>
                <w:lang w:val="en-US"/>
              </w:rPr>
              <w:t xml:space="preserve">注：响应文件中提供证书复印件及该证书在中国国家认证认可监督管理委员会网站上查询的页面截图复印件并加盖磋商响应单位公章，未按上述要求提供证明材料的，对应内容不得分。</w:t>
            </w:r>
            <w:r/>
          </w:p>
        </w:tc>
        <w:tc>
          <w:tcPr>
            <w:tcW w:w="660" w:type="dxa"/>
            <w:vAlign w:val="center"/>
            <w:textDirection w:val="lrTb"/>
            <w:noWrap w:val="false"/>
          </w:tcPr>
          <w:p>
            <w:pPr>
              <w:pStyle w:val="1106"/>
              <w:ind w:firstLine="0"/>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3</w:t>
            </w:r>
            <w:r/>
          </w:p>
        </w:tc>
      </w:tr>
      <w:tr>
        <w:trPr>
          <w:trHeight w:val="567"/>
        </w:trPr>
        <w:tc>
          <w:tcPr>
            <w:tcW w:w="734" w:type="dxa"/>
            <w:vAlign w:val="center"/>
            <w:textDirection w:val="lrTb"/>
            <w:noWrap w:val="false"/>
          </w:tcPr>
          <w:p>
            <w:pPr>
              <w:rPr>
                <w:rFonts w:hint="eastAsia" w:ascii="宋体" w:hAnsi="宋体" w:cs="宋体"/>
                <w:b/>
                <w:bCs/>
                <w:color w:val="auto"/>
                <w:highlight w:val="none"/>
              </w:rPr>
            </w:pPr>
            <w:r>
              <w:rPr>
                <w:rFonts w:hint="eastAsia" w:ascii="宋体" w:hAnsi="宋体" w:cs="宋体"/>
                <w:b/>
                <w:bCs/>
                <w:color w:val="auto"/>
                <w:highlight w:val="none"/>
              </w:rPr>
              <w:t xml:space="preserve">四</w:t>
            </w:r>
            <w:r/>
          </w:p>
        </w:tc>
        <w:tc>
          <w:tcPr>
            <w:gridSpan w:val="3"/>
            <w:tcW w:w="7308" w:type="dxa"/>
            <w:vAlign w:val="center"/>
            <w:textDirection w:val="lrTb"/>
            <w:noWrap w:val="false"/>
          </w:tcPr>
          <w:p>
            <w:pPr>
              <w:pStyle w:val="1106"/>
              <w:ind w:firstLine="0"/>
              <w:rPr>
                <w:rFonts w:hint="eastAsia" w:ascii="宋体" w:hAnsi="宋体" w:eastAsia="宋体"/>
                <w:b/>
                <w:bCs/>
                <w:color w:val="auto"/>
                <w:szCs w:val="24"/>
                <w:highlight w:val="none"/>
                <w:lang w:val="en-US" w:eastAsia="zh-CN"/>
              </w:rPr>
            </w:pPr>
            <w:r>
              <w:rPr>
                <w:rFonts w:hint="eastAsia" w:ascii="宋体" w:hAnsi="宋体" w:cs="宋体"/>
                <w:b/>
                <w:bCs/>
                <w:color w:val="auto"/>
                <w:szCs w:val="24"/>
                <w:highlight w:val="none"/>
                <w:lang w:val="en-US"/>
              </w:rPr>
              <w:t xml:space="preserve">类似业绩比较</w:t>
            </w:r>
            <w:r>
              <w:rPr>
                <w:rFonts w:hint="eastAsia" w:ascii="宋体" w:hAnsi="宋体" w:cs="宋体"/>
                <w:b/>
                <w:bCs/>
                <w:color w:val="auto"/>
                <w:szCs w:val="24"/>
                <w:highlight w:val="none"/>
                <w:lang w:val="en-US" w:eastAsia="zh-CN"/>
              </w:rPr>
              <w:t xml:space="preserve">（6分）</w:t>
            </w:r>
            <w:r/>
          </w:p>
        </w:tc>
        <w:tc>
          <w:tcPr>
            <w:tcW w:w="660" w:type="dxa"/>
            <w:vAlign w:val="center"/>
            <w:textDirection w:val="lrTb"/>
            <w:noWrap w:val="false"/>
          </w:tcPr>
          <w:p>
            <w:pPr>
              <w:pStyle w:val="1106"/>
              <w:ind w:firstLine="0"/>
              <w:rPr>
                <w:rFonts w:hint="eastAsia" w:ascii="宋体" w:hAnsi="宋体" w:cs="宋体"/>
                <w:color w:val="auto"/>
                <w:szCs w:val="24"/>
                <w:highlight w:val="none"/>
              </w:rPr>
            </w:pPr>
            <w:r>
              <w:rPr>
                <w:rFonts w:hint="eastAsia" w:ascii="宋体" w:hAnsi="宋体" w:cs="宋体"/>
                <w:color w:val="auto"/>
                <w:szCs w:val="24"/>
                <w:highlight w:val="none"/>
              </w:rPr>
            </w:r>
            <w:r/>
          </w:p>
        </w:tc>
      </w:tr>
      <w:tr>
        <w:trPr>
          <w:trHeight w:val="567"/>
        </w:trPr>
        <w:tc>
          <w:tcPr>
            <w:tcW w:w="734"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1</w:t>
            </w:r>
            <w:r/>
          </w:p>
        </w:tc>
        <w:tc>
          <w:tcPr>
            <w:gridSpan w:val="3"/>
            <w:tcW w:w="7308" w:type="dxa"/>
            <w:vAlign w:val="center"/>
            <w:textDirection w:val="lrTb"/>
            <w:noWrap w:val="false"/>
          </w:tcPr>
          <w:p>
            <w:pPr>
              <w:pStyle w:val="1106"/>
              <w:ind w:firstLine="0"/>
              <w:rPr>
                <w:rFonts w:hint="eastAsia" w:ascii="宋体" w:hAnsi="宋体"/>
                <w:color w:val="auto"/>
                <w:szCs w:val="24"/>
                <w:highlight w:val="none"/>
                <w:lang w:val="en-US"/>
              </w:rPr>
            </w:pPr>
            <w:r>
              <w:rPr>
                <w:rFonts w:hint="eastAsia" w:ascii="宋体" w:hAnsi="宋体"/>
                <w:color w:val="auto"/>
                <w:szCs w:val="24"/>
                <w:highlight w:val="none"/>
                <w:lang w:val="en-US"/>
              </w:rPr>
              <w:t xml:space="preserve">供应商自2022年1月1日（以合同签订时间为准）以来类似项目业绩，每提供一份证明资料得2分，最高得6分。</w:t>
            </w:r>
            <w:r/>
          </w:p>
          <w:p>
            <w:pPr>
              <w:pStyle w:val="1106"/>
              <w:ind w:firstLine="0"/>
              <w:rPr>
                <w:rFonts w:hint="eastAsia" w:ascii="宋体" w:hAnsi="宋体"/>
                <w:color w:val="auto"/>
                <w:szCs w:val="24"/>
                <w:highlight w:val="none"/>
                <w:lang w:val="en-US"/>
              </w:rPr>
            </w:pPr>
            <w:r>
              <w:rPr>
                <w:rFonts w:hint="eastAsia" w:ascii="宋体" w:hAnsi="宋体"/>
                <w:color w:val="auto"/>
                <w:szCs w:val="24"/>
                <w:highlight w:val="none"/>
                <w:lang w:val="en-US"/>
              </w:rPr>
              <w:t xml:space="preserve">注：响应文件中提供合同</w:t>
            </w:r>
            <w:r>
              <w:rPr>
                <w:rFonts w:hint="eastAsia" w:ascii="宋体" w:hAnsi="宋体"/>
                <w:color w:val="auto"/>
                <w:szCs w:val="24"/>
                <w:highlight w:val="none"/>
                <w:lang w:val="en-US" w:eastAsia="zh-CN"/>
              </w:rPr>
              <w:t xml:space="preserve">复印件</w:t>
            </w:r>
            <w:r>
              <w:rPr>
                <w:rFonts w:hint="eastAsia" w:ascii="宋体" w:hAnsi="宋体"/>
                <w:color w:val="auto"/>
                <w:szCs w:val="24"/>
                <w:highlight w:val="none"/>
                <w:lang w:val="en-US"/>
              </w:rPr>
              <w:t xml:space="preserve">并加盖磋商响应单位公章，否则不得分。</w:t>
            </w:r>
            <w:r/>
          </w:p>
        </w:tc>
        <w:tc>
          <w:tcPr>
            <w:tcW w:w="660" w:type="dxa"/>
            <w:vAlign w:val="center"/>
            <w:textDirection w:val="lrTb"/>
            <w:noWrap w:val="false"/>
          </w:tcPr>
          <w:p>
            <w:pPr>
              <w:pStyle w:val="1106"/>
              <w:ind w:firstLine="0"/>
              <w:rPr>
                <w:rFonts w:hint="eastAsia" w:ascii="宋体" w:hAnsi="宋体" w:cs="宋体"/>
                <w:color w:val="auto"/>
                <w:szCs w:val="24"/>
                <w:highlight w:val="none"/>
                <w:lang w:val="en-US"/>
              </w:rPr>
            </w:pPr>
            <w:r>
              <w:rPr>
                <w:rFonts w:hint="eastAsia" w:ascii="宋体" w:hAnsi="宋体" w:cs="宋体"/>
                <w:color w:val="auto"/>
                <w:szCs w:val="24"/>
                <w:highlight w:val="none"/>
                <w:lang w:val="en-US"/>
              </w:rPr>
              <w:t xml:space="preserve">6</w:t>
            </w:r>
            <w:r/>
          </w:p>
        </w:tc>
      </w:tr>
    </w:tbl>
    <w:p>
      <w:pPr>
        <w:ind w:firstLine="211"/>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备注：</w:t>
      </w:r>
      <w:bookmarkEnd w:id="41"/>
      <w:r/>
      <w:r/>
    </w:p>
    <w:p>
      <w:pPr>
        <w:ind w:firstLine="210"/>
        <w:rPr>
          <w:rFonts w:hint="eastAsia" w:ascii="宋体" w:hAnsi="宋体" w:cs="宋体"/>
          <w:bCs/>
          <w:color w:val="auto"/>
          <w:szCs w:val="21"/>
          <w:highlight w:val="none"/>
          <w:lang w:val="zh-TW" w:eastAsia="zh-TW"/>
        </w:rPr>
      </w:pPr>
      <w:r/>
      <w:bookmarkStart w:id="45" w:name="_Toc11197"/>
      <w:r>
        <w:rPr>
          <w:rFonts w:hint="eastAsia" w:ascii="宋体" w:hAnsi="宋体" w:cs="宋体"/>
          <w:bCs/>
          <w:color w:val="auto"/>
          <w:szCs w:val="21"/>
          <w:highlight w:val="none"/>
          <w:lang w:val="zh-TW" w:eastAsia="zh-TW"/>
        </w:rPr>
        <w:t xml:space="preserve">1、</w:t>
      </w:r>
      <w:r>
        <w:rPr>
          <w:rFonts w:hint="eastAsia" w:ascii="宋体" w:hAnsi="宋体" w:cs="宋体"/>
          <w:bCs/>
          <w:color w:val="auto"/>
          <w:szCs w:val="21"/>
          <w:highlight w:val="none"/>
        </w:rPr>
        <w:t xml:space="preserve">响应</w:t>
      </w:r>
      <w:r>
        <w:rPr>
          <w:rFonts w:hint="eastAsia" w:ascii="宋体" w:hAnsi="宋体" w:cs="宋体"/>
          <w:bCs/>
          <w:color w:val="auto"/>
          <w:szCs w:val="21"/>
          <w:highlight w:val="none"/>
          <w:lang w:val="zh-TW" w:eastAsia="zh-TW"/>
        </w:rPr>
        <w:t xml:space="preserve">总报价超过采购预算（或最高限价）的将不进入综合评审程序，也不得标。</w:t>
      </w:r>
      <w:bookmarkEnd w:id="45"/>
      <w:r/>
      <w:r/>
    </w:p>
    <w:p>
      <w:pPr>
        <w:ind w:firstLine="210"/>
        <w:rPr>
          <w:rFonts w:hint="eastAsia" w:ascii="宋体" w:hAnsi="宋体" w:cs="宋体"/>
          <w:bCs/>
          <w:color w:val="auto"/>
          <w:szCs w:val="21"/>
          <w:highlight w:val="none"/>
          <w:lang w:val="zh-TW" w:eastAsia="zh-TW"/>
        </w:rPr>
      </w:pPr>
      <w:r/>
      <w:bookmarkStart w:id="46" w:name="_Toc8909"/>
      <w:r>
        <w:rPr>
          <w:rFonts w:hint="eastAsia" w:ascii="宋体" w:hAnsi="宋体" w:cs="宋体"/>
          <w:bCs/>
          <w:color w:val="auto"/>
          <w:szCs w:val="21"/>
          <w:highlight w:val="none"/>
          <w:lang w:val="zh-TW" w:eastAsia="zh-TW"/>
        </w:rPr>
        <w:t xml:space="preserve">2、服务期、付款步骤如有负偏离的不得标。</w:t>
      </w:r>
      <w:bookmarkEnd w:id="46"/>
      <w:r/>
      <w:r/>
    </w:p>
    <w:p>
      <w:pPr>
        <w:ind w:firstLine="210"/>
        <w:rPr>
          <w:rFonts w:hint="eastAsia" w:ascii="宋体" w:hAnsi="宋体" w:cs="宋体"/>
          <w:bCs/>
          <w:color w:val="auto"/>
          <w:szCs w:val="21"/>
          <w:highlight w:val="none"/>
          <w:lang w:val="zh-TW" w:eastAsia="zh-TW"/>
        </w:rPr>
      </w:pPr>
      <w:r/>
      <w:bookmarkStart w:id="47" w:name="_Toc22215"/>
      <w:r>
        <w:rPr>
          <w:rFonts w:hint="eastAsia" w:ascii="宋体" w:hAnsi="宋体" w:cs="宋体"/>
          <w:bCs/>
          <w:color w:val="auto"/>
          <w:szCs w:val="21"/>
          <w:highlight w:val="none"/>
          <w:lang w:val="zh-TW" w:eastAsia="zh-TW"/>
        </w:rPr>
        <w:t xml:space="preserve">3、响应文件中如出现前后不一致时,评委有权请</w:t>
      </w:r>
      <w:r>
        <w:rPr>
          <w:rFonts w:hint="eastAsia" w:ascii="宋体" w:hAnsi="宋体" w:cs="宋体"/>
          <w:bCs/>
          <w:color w:val="auto"/>
          <w:szCs w:val="21"/>
          <w:highlight w:val="none"/>
          <w:lang w:val="zh-TW"/>
        </w:rPr>
        <w:t xml:space="preserve">供应商</w:t>
      </w:r>
      <w:r>
        <w:rPr>
          <w:rFonts w:hint="eastAsia" w:ascii="宋体" w:hAnsi="宋体" w:cs="宋体"/>
          <w:bCs/>
          <w:color w:val="auto"/>
          <w:szCs w:val="21"/>
          <w:highlight w:val="none"/>
          <w:lang w:val="zh-TW" w:eastAsia="zh-TW"/>
        </w:rPr>
        <w:t xml:space="preserve">澄清说明,澄清说明事项涉及评分时,评委有权酌情扣分。</w:t>
      </w:r>
      <w:bookmarkEnd w:id="47"/>
      <w:r/>
      <w:r/>
    </w:p>
    <w:p>
      <w:pPr>
        <w:ind w:firstLine="210"/>
        <w:rPr>
          <w:rFonts w:hint="eastAsia" w:ascii="宋体" w:hAnsi="宋体" w:cs="宋体"/>
          <w:bCs/>
          <w:color w:val="auto"/>
          <w:szCs w:val="21"/>
          <w:highlight w:val="none"/>
        </w:rPr>
      </w:pPr>
      <w:r>
        <w:rPr>
          <w:rFonts w:hint="eastAsia" w:ascii="宋体" w:hAnsi="宋体" w:cs="宋体"/>
          <w:bCs/>
          <w:color w:val="auto"/>
          <w:szCs w:val="21"/>
          <w:highlight w:val="none"/>
        </w:rPr>
        <w:t xml:space="preserve">4、响应人提供资料必须真实有效，成交后采购人可对相应证书扫描件等进行原件核查，响应单位如若提供虚假资料，将承担相应法律责任。以上须要递交的资料投标截止时间之前递交，逾时递交的资料将不作为评审依据。</w:t>
      </w:r>
      <w:r/>
    </w:p>
    <w:p>
      <w:pPr>
        <w:ind w:firstLine="210"/>
        <w:rPr>
          <w:rFonts w:hint="eastAsia" w:ascii="宋体" w:hAnsi="宋体" w:cs="宋体"/>
          <w:bCs/>
          <w:color w:val="auto"/>
          <w:szCs w:val="21"/>
          <w:highlight w:val="none"/>
        </w:rPr>
      </w:pPr>
      <w:r>
        <w:rPr>
          <w:rFonts w:hint="eastAsia" w:ascii="宋体" w:hAnsi="宋体" w:cs="宋体"/>
          <w:bCs/>
          <w:color w:val="auto"/>
          <w:szCs w:val="21"/>
          <w:highlight w:val="none"/>
        </w:rPr>
        <w:t xml:space="preserve">5、采购文件中要求加盖响应单位公章的，可用电子签章代替。</w:t>
      </w:r>
      <w:r/>
    </w:p>
    <w:p>
      <w:pPr>
        <w:ind w:firstLine="210"/>
        <w:rPr>
          <w:color w:val="auto"/>
          <w:highlight w:val="none"/>
        </w:rPr>
      </w:pPr>
      <w:r>
        <w:rPr>
          <w:rFonts w:hint="eastAsia" w:ascii="宋体" w:hAnsi="宋体" w:cs="宋体"/>
          <w:bCs/>
          <w:color w:val="auto"/>
          <w:szCs w:val="21"/>
          <w:highlight w:val="none"/>
        </w:rPr>
        <w:t xml:space="preserve">6、</w:t>
      </w:r>
      <w:r>
        <w:rPr>
          <w:rFonts w:hint="eastAsia"/>
          <w:color w:val="auto"/>
          <w:highlight w:val="none"/>
        </w:rPr>
        <w:t xml:space="preserve">投标响应文件中扫描件须清晰可辨，如因扫描件模糊，造成无法辨认，该项不得分。</w:t>
      </w:r>
      <w:r/>
    </w:p>
    <w:p>
      <w:pPr>
        <w:rPr>
          <w:rFonts w:hint="eastAsia" w:ascii="宋体" w:hAnsi="宋体" w:cs="宋体"/>
          <w:color w:val="auto"/>
          <w:highlight w:val="none"/>
        </w:rPr>
      </w:pPr>
      <w:r/>
      <w:bookmarkStart w:id="48" w:name="_Toc29409"/>
      <w:r/>
      <w:bookmarkStart w:id="49" w:name="_Toc12103"/>
      <w:r>
        <w:rPr>
          <w:rFonts w:hint="eastAsia" w:ascii="宋体" w:hAnsi="宋体" w:cs="宋体"/>
          <w:color w:val="auto"/>
          <w:highlight w:val="none"/>
        </w:rPr>
        <w:br w:type="page" w:clear="all"/>
      </w:r>
      <w:r/>
    </w:p>
    <w:p>
      <w:pPr>
        <w:pStyle w:val="1089"/>
        <w:rPr>
          <w:rFonts w:hint="eastAsia" w:ascii="宋体" w:hAnsi="宋体" w:cs="宋体"/>
          <w:color w:val="auto"/>
          <w:highlight w:val="none"/>
        </w:rPr>
      </w:pPr>
      <w:r>
        <w:rPr>
          <w:rFonts w:hint="eastAsia" w:ascii="宋体" w:hAnsi="宋体" w:cs="宋体"/>
          <w:color w:val="auto"/>
          <w:highlight w:val="none"/>
        </w:rPr>
        <w:t xml:space="preserve">五、合同主要条款</w:t>
      </w:r>
      <w:bookmarkEnd w:id="48"/>
      <w:r/>
      <w:bookmarkEnd w:id="49"/>
      <w:r/>
      <w:r/>
    </w:p>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甲方（采购单位）： </w:t>
      </w:r>
      <w:r/>
    </w:p>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地址：</w:t>
      </w:r>
      <w:r/>
    </w:p>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联系人：                 </w:t>
      </w:r>
      <w:r/>
    </w:p>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联系电话：                                </w:t>
      </w:r>
      <w:r/>
    </w:p>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乙方（成交单位）：   </w:t>
      </w:r>
      <w:r/>
    </w:p>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地址：</w:t>
      </w:r>
      <w:r/>
    </w:p>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联系人：                 </w:t>
      </w:r>
      <w:r/>
    </w:p>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联系电话：  </w:t>
      </w:r>
      <w:r/>
    </w:p>
    <w:p>
      <w:pPr>
        <w:pStyle w:val="1107"/>
        <w:rPr>
          <w:color w:val="auto"/>
          <w:highlight w:val="none"/>
        </w:rPr>
      </w:pPr>
      <w:r>
        <w:rPr>
          <w:color w:val="auto"/>
          <w:highlight w:val="none"/>
        </w:rPr>
      </w:r>
      <w:r/>
    </w:p>
    <w:p>
      <w:pPr>
        <w:ind w:firstLine="420"/>
        <w:rPr>
          <w:rFonts w:hint="eastAsia" w:ascii="宋体" w:hAnsi="宋体" w:cs="宋体"/>
          <w:color w:val="auto"/>
          <w:szCs w:val="21"/>
          <w:highlight w:val="none"/>
        </w:rPr>
      </w:pPr>
      <w:r/>
      <w:bookmarkStart w:id="50" w:name="_Toc31533"/>
      <w:r>
        <w:rPr>
          <w:rFonts w:hint="eastAsia" w:ascii="宋体" w:hAnsi="宋体" w:cs="宋体"/>
          <w:color w:val="auto"/>
          <w:szCs w:val="21"/>
          <w:highlight w:val="none"/>
        </w:rPr>
        <w:t xml:space="preserve">依据甲方委托</w:t>
      </w:r>
      <w:r>
        <w:rPr>
          <w:rFonts w:hint="eastAsia" w:ascii="宋体" w:hAnsi="宋体" w:cs="宋体"/>
          <w:color w:val="auto"/>
          <w:szCs w:val="21"/>
          <w:highlight w:val="none"/>
          <w:u w:val="single"/>
        </w:rPr>
        <w:t xml:space="preserve">苏州通宜房地产土地评估咨询有限公司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汾湖高新区2026年两河两湖水面长效管护项目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JSZC-320509-SZTY-C2025-0019</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政府采购的成交结果，确定乙方为本次成交单位，现依照采购文件、乙方的响应文件及相关文件的内容，签订本合同书。</w:t>
      </w:r>
      <w:r/>
    </w:p>
    <w:p>
      <w:pPr>
        <w:ind w:firstLine="482"/>
        <w:rPr>
          <w:rFonts w:hint="eastAsia" w:ascii="宋体" w:hAnsi="宋体" w:cs="宋体"/>
          <w:b/>
          <w:color w:val="auto"/>
          <w:szCs w:val="21"/>
          <w:highlight w:val="none"/>
        </w:rPr>
      </w:pPr>
      <w:r/>
      <w:bookmarkStart w:id="51" w:name="_Toc456785115"/>
      <w:r>
        <w:rPr>
          <w:rFonts w:hint="eastAsia" w:ascii="宋体" w:hAnsi="宋体" w:cs="宋体"/>
          <w:b/>
          <w:color w:val="auto"/>
          <w:szCs w:val="21"/>
          <w:highlight w:val="none"/>
        </w:rPr>
        <w:t xml:space="preserve">第一条  项目概况</w:t>
      </w:r>
      <w:bookmarkEnd w:id="51"/>
      <w:r/>
      <w:r/>
    </w:p>
    <w:p>
      <w:pPr>
        <w:ind w:firstLine="480"/>
        <w:rPr>
          <w:rFonts w:hint="eastAsia" w:ascii="宋体" w:hAnsi="宋体" w:cs="宋体"/>
          <w:color w:val="auto"/>
          <w:szCs w:val="21"/>
          <w:highlight w:val="none"/>
        </w:rPr>
      </w:pPr>
      <w:r/>
      <w:bookmarkStart w:id="52" w:name="_Toc456785116"/>
      <w:r>
        <w:rPr>
          <w:rFonts w:hint="eastAsia" w:ascii="宋体" w:hAnsi="宋体" w:cs="宋体"/>
          <w:color w:val="auto"/>
          <w:szCs w:val="21"/>
          <w:highlight w:val="none"/>
        </w:rPr>
        <w:t xml:space="preserve">委托项目名称：汾湖高新区两河两湖水面保洁。</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委托项目地点：采购人指定地点。</w:t>
      </w:r>
      <w:r/>
    </w:p>
    <w:p>
      <w:pPr>
        <w:ind w:firstLine="482"/>
        <w:rPr>
          <w:rFonts w:hint="eastAsia" w:ascii="宋体" w:hAnsi="宋体" w:cs="宋体"/>
          <w:b/>
          <w:color w:val="auto"/>
          <w:szCs w:val="21"/>
          <w:highlight w:val="none"/>
        </w:rPr>
      </w:pPr>
      <w:r>
        <w:rPr>
          <w:rFonts w:hint="eastAsia" w:ascii="宋体" w:hAnsi="宋体" w:cs="宋体"/>
          <w:b/>
          <w:color w:val="auto"/>
          <w:szCs w:val="21"/>
          <w:highlight w:val="none"/>
        </w:rPr>
        <w:t xml:space="preserve">第二条  组成合同文件</w:t>
      </w:r>
      <w:bookmarkEnd w:id="52"/>
      <w:r>
        <w:rPr>
          <w:rFonts w:hint="eastAsia" w:ascii="宋体" w:hAnsi="宋体" w:cs="宋体"/>
          <w:b/>
          <w:color w:val="auto"/>
          <w:szCs w:val="21"/>
          <w:highlight w:val="none"/>
        </w:rPr>
        <w:t xml:space="preserve">及效力顺序</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本合同由下列文件组成，效力顺序如下：</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1.本合同（含附件）；</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2.招、投标书及附件；</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3.成交通知书；</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4.维修养护标准、规范及相关技术文件；</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5.组成本合同的其他文件和资料。</w:t>
      </w:r>
      <w:r/>
    </w:p>
    <w:p>
      <w:pPr>
        <w:ind w:firstLine="482"/>
        <w:rPr>
          <w:rFonts w:hint="eastAsia" w:ascii="宋体" w:hAnsi="宋体" w:cs="宋体"/>
          <w:b/>
          <w:color w:val="auto"/>
          <w:szCs w:val="21"/>
          <w:highlight w:val="none"/>
        </w:rPr>
      </w:pPr>
      <w:r>
        <w:rPr>
          <w:rFonts w:hint="eastAsia" w:ascii="宋体" w:hAnsi="宋体" w:cs="宋体"/>
          <w:b/>
          <w:color w:val="auto"/>
          <w:szCs w:val="21"/>
          <w:highlight w:val="none"/>
        </w:rPr>
        <w:t xml:space="preserve">第三条  服务范围及内容</w:t>
      </w:r>
      <w:r/>
    </w:p>
    <w:p>
      <w:pPr>
        <w:ind w:firstLine="420"/>
        <w:jc w:val="left"/>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1.服务范围：</w:t>
      </w:r>
      <w:r>
        <w:rPr>
          <w:rFonts w:hint="eastAsia" w:ascii="宋体" w:hAnsi="宋体" w:cs="宋体"/>
          <w:color w:val="auto"/>
          <w:szCs w:val="21"/>
          <w:highlight w:val="none"/>
          <w:u w:val="single"/>
        </w:rPr>
        <w:t xml:space="preserve">本项目岸线6米范围及相应水域及采购文件中规定全部工作内容。</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2.服务内容：</w:t>
      </w:r>
      <w:r/>
    </w:p>
    <w:p>
      <w:pPr>
        <w:ind w:firstLine="42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主要包括</w:t>
      </w:r>
      <w:r>
        <w:rPr>
          <w:rFonts w:hint="eastAsia" w:ascii="宋体" w:hAnsi="宋体"/>
          <w:color w:val="auto"/>
          <w:szCs w:val="21"/>
          <w:highlight w:val="none"/>
        </w:rPr>
        <w:t xml:space="preserve">两河两湖的水域保洁、陆域保洁、</w:t>
      </w:r>
      <w:r>
        <w:rPr>
          <w:rFonts w:hint="eastAsia" w:ascii="宋体" w:hAnsi="宋体"/>
          <w:color w:val="auto"/>
          <w:szCs w:val="21"/>
          <w:highlight w:val="none"/>
          <w:lang w:val="en-US" w:eastAsia="zh-CN"/>
        </w:rPr>
        <w:t xml:space="preserve">护岸养护、</w:t>
      </w:r>
      <w:r>
        <w:rPr>
          <w:rFonts w:hint="eastAsia" w:ascii="宋体" w:hAnsi="宋体"/>
          <w:color w:val="auto"/>
          <w:szCs w:val="21"/>
          <w:highlight w:val="none"/>
        </w:rPr>
        <w:t xml:space="preserve">绿化养护、垃圾处置、水生植物应急处置等内容。</w:t>
      </w:r>
      <w:r/>
    </w:p>
    <w:p>
      <w:pPr>
        <w:ind w:firstLine="482"/>
        <w:rPr>
          <w:rFonts w:hint="eastAsia" w:ascii="宋体" w:hAnsi="宋体" w:cs="宋体"/>
          <w:color w:val="auto"/>
          <w:szCs w:val="21"/>
          <w:highlight w:val="none"/>
        </w:rPr>
      </w:pPr>
      <w:r/>
      <w:bookmarkStart w:id="53" w:name="_Toc456785118"/>
      <w:r>
        <w:rPr>
          <w:rFonts w:hint="eastAsia" w:ascii="宋体" w:hAnsi="宋体" w:cs="宋体"/>
          <w:b/>
          <w:color w:val="auto"/>
          <w:szCs w:val="21"/>
          <w:highlight w:val="none"/>
        </w:rPr>
        <w:t xml:space="preserve">第四条  </w:t>
      </w:r>
      <w:bookmarkEnd w:id="53"/>
      <w:r>
        <w:rPr>
          <w:rFonts w:hint="eastAsia" w:ascii="宋体" w:hAnsi="宋体" w:cs="宋体"/>
          <w:b/>
          <w:color w:val="auto"/>
          <w:szCs w:val="21"/>
          <w:highlight w:val="none"/>
        </w:rPr>
        <w:t xml:space="preserve">合同履行期限：</w:t>
      </w:r>
      <w:r>
        <w:rPr>
          <w:rFonts w:hint="eastAsia" w:ascii="宋体" w:hAnsi="宋体" w:cs="宋体"/>
          <w:color w:val="auto"/>
          <w:szCs w:val="21"/>
          <w:highlight w:val="none"/>
        </w:rPr>
        <w:t xml:space="preserve">壹年，自</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日止。 </w:t>
      </w:r>
      <w:r/>
    </w:p>
    <w:p>
      <w:pPr>
        <w:ind w:firstLine="482"/>
        <w:rPr>
          <w:rFonts w:hint="eastAsia" w:ascii="宋体" w:hAnsi="宋体" w:cs="宋体"/>
          <w:b/>
          <w:color w:val="auto"/>
          <w:szCs w:val="21"/>
          <w:highlight w:val="none"/>
        </w:rPr>
      </w:pPr>
      <w:r/>
      <w:bookmarkStart w:id="54" w:name="_Toc29472_WPSOffice_Level2"/>
      <w:r/>
      <w:bookmarkStart w:id="55" w:name="_Toc27631_WPSOffice_Level2"/>
      <w:r>
        <w:rPr>
          <w:rFonts w:hint="eastAsia" w:ascii="宋体" w:hAnsi="宋体" w:cs="宋体"/>
          <w:b/>
          <w:color w:val="auto"/>
          <w:szCs w:val="21"/>
          <w:highlight w:val="none"/>
        </w:rPr>
        <w:t xml:space="preserve">第五条  服务质量和考核</w:t>
      </w:r>
      <w:bookmarkEnd w:id="54"/>
      <w:r/>
      <w:bookmarkEnd w:id="55"/>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1.服务质量：</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（1）服务质量应当符合</w:t>
      </w:r>
      <w:r>
        <w:rPr>
          <w:rFonts w:hint="eastAsia" w:ascii="宋体" w:hAnsi="宋体"/>
          <w:color w:val="auto"/>
          <w:szCs w:val="21"/>
          <w:highlight w:val="none"/>
        </w:rPr>
        <w:t xml:space="preserve">《苏州市吴江区进一步加强河湖管护工作的通知》、</w:t>
      </w:r>
      <w:r>
        <w:rPr>
          <w:rFonts w:hint="eastAsia" w:ascii="宋体" w:hAnsi="宋体" w:cs="宋体"/>
          <w:color w:val="auto"/>
          <w:szCs w:val="21"/>
          <w:highlight w:val="none"/>
        </w:rPr>
        <w:t xml:space="preserve">《上海市河道维修养护技术规程》《关于进一步加强本市河湖长效管理养护工作的通知》（沪水务〔2019〕44号）等规定要求。对服务质量有特殊要求的，由双方另行约定；</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（2）双方对服务质量有争议的，由双方共同委托的机构鉴定。鉴定机构名称为：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。所需鉴定费用由责任方承担。</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2.考核：</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（1）乙方应严格按照行业标准、技术规范（规程），以及本合同约定进行服务；</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（2）甲方</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内不定期</w:t>
      </w:r>
      <w:r>
        <w:rPr>
          <w:rFonts w:hint="eastAsia" w:ascii="宋体" w:hAnsi="宋体" w:cs="宋体"/>
          <w:color w:val="auto"/>
          <w:szCs w:val="21"/>
          <w:highlight w:val="none"/>
        </w:rPr>
        <w:t xml:space="preserve">对乙方服务的情况进行检查；</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（3）甲方发现乙方服务不符合本合同约定的，要求乙方采取重做、修复、更换等补救措施，乙方应采取补救措施直至符合本合同约定要求。</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（4）乙方采取补救措施后仍不符合本合同约定要求的，甲方有权委托第三方采取措施，由此发生的全部费用由乙方承担；</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（5）甲方应按照合同规定进行月度考核，检查和考核的时间、标准和方式，</w:t>
      </w:r>
      <w:r>
        <w:rPr>
          <w:rFonts w:hint="eastAsia" w:ascii="宋体" w:hAnsi="宋体" w:cs="宋体"/>
          <w:color w:val="auto"/>
          <w:szCs w:val="21"/>
          <w:highlight w:val="none"/>
          <w:lang w:val="en-US" w:eastAsia="zh-CN"/>
        </w:rPr>
        <w:t xml:space="preserve">详见合同附件4、合同附件5。</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）因乙方操作不当造成的河道设施损坏的，乙方应无偿修复。</w:t>
      </w:r>
      <w:r/>
    </w:p>
    <w:p>
      <w:pPr>
        <w:ind w:firstLine="482"/>
        <w:rPr>
          <w:rFonts w:hint="eastAsia" w:ascii="宋体" w:hAnsi="宋体" w:cs="宋体"/>
          <w:b/>
          <w:color w:val="auto"/>
          <w:szCs w:val="21"/>
          <w:highlight w:val="none"/>
        </w:rPr>
      </w:pPr>
      <w:r/>
      <w:bookmarkStart w:id="56" w:name="_Toc4717_WPSOffice_Level2"/>
      <w:r/>
      <w:bookmarkStart w:id="57" w:name="_Toc22191_WPSOffice_Level2"/>
      <w:r>
        <w:rPr>
          <w:rFonts w:hint="eastAsia" w:ascii="宋体" w:hAnsi="宋体" w:cs="宋体"/>
          <w:b/>
          <w:color w:val="auto"/>
          <w:szCs w:val="21"/>
          <w:highlight w:val="none"/>
        </w:rPr>
        <w:t xml:space="preserve">第六条  双方权利和义务</w:t>
      </w:r>
      <w:bookmarkEnd w:id="56"/>
      <w:r/>
      <w:bookmarkEnd w:id="57"/>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1.甲方代表：</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（1）甲方指定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为甲方代表，代表甲方行使本合同权利，履行本合同义务；</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（2）除甲方代表外，其他人员无权向乙方发出指令、通知。除本合同另有约定外，甲方代表不得委托他人代行职权；</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（3）甲方代表的指令、通知，应签字后以书面方式送交乙方，乙方代表在回执上签署后生效。必要时，甲方代表可发出口头指令，但应在48小时内予以书面方式确认；</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（4）甲方代表不能及时予以书面确认的，乙方应自甲方代表发出口头指令后7天内提出确认要求。甲方代表在乙方提出确认要求后48小时内未予答复的，视为甲方代表的口头指令已被确认；</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5）乙方认为甲方代表指令不合理或无法实施的，应在收到指令后24小时内向甲方代表提出异议报告。甲方代表应在收到乙方报告后24小时内作出修改或继续执行原指令的书面决定，乙方应予执行。因甲方代表指令不当或错误而发生的追加合同价款或造成乙方的经济损失由甲方承担，并应相应顺延工期；</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（6）甲方代表应及时向乙方发出指令、通知。因甲方代表未按本合同约定履行义务造成乙方经济损失的，由甲方承担；</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（7）甲方认为确有必要更换甲方代表的，应提前7天以书面方式通知乙方。</w:t>
      </w:r>
      <w:r/>
    </w:p>
    <w:p>
      <w:pPr>
        <w:ind w:firstLine="480"/>
        <w:rPr>
          <w:rFonts w:hint="eastAsia" w:ascii="宋体" w:hAnsi="宋体" w:cs="宋体"/>
          <w:b/>
          <w:color w:val="auto"/>
          <w:szCs w:val="21"/>
          <w:highlight w:val="none"/>
        </w:rPr>
      </w:pPr>
      <w:r>
        <w:rPr>
          <w:rFonts w:hint="eastAsia" w:ascii="宋体" w:hAnsi="宋体" w:cs="宋体"/>
          <w:color w:val="auto"/>
          <w:szCs w:val="21"/>
          <w:highlight w:val="none"/>
        </w:rPr>
        <w:t xml:space="preserve">2.乙方代表：</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（1）乙方任命</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为乙方代表，代表乙方行使本合同权利，履行本合同义务；</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（2）乙方依据本合同提出的报告，应以书面方式签章后送交甲方代表，甲方代表在回执上签署后生效；</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3）乙方代表应当按照本合同约定和甲方代表发出的指令、通知组织服务作业。在情况紧急且无法与甲方代表联系时，乙方代表应立即采取保证人员生命、财产安全的必要措施，并在采取措施后48小时内向甲方代表提交报告。采取必要措施的费用由责任方承担；</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（4）乙方需要更换乙方代表的，应提前7天以书面方式通知甲方。经甲方同意后才可任命新的乙方代表继续行使本合同权利，履行本合同义务；</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（5）乙方代表不称职时，甲方有权要求撤换。乙方应按甲方要求及时以称职人员替换。</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3.甲方工作：</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（1）负责向乙方提供服务范围内河段的水质历史档案，其中镇管及以上河道不少于连续一年单月水质数据，村级河道不少于连续一年单月代表数据，若有其他水质监测数据，也应及时提供。</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（2）负责向乙方提供有关法律规定等规范性文件，以及相关技术规范、规程和检查、考核办法，并提供各类报表样式。为乙方提供查阅技术资料的便利；</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（3）根据上级主管部门批复的经费计划，按本合同约定及时向乙方支付服务费；</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（4）为乙方的管理与操作人员的技术培训优先提供便利；</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（5）需要服务的河道设施及其它设施，应列明范围或设施量清单，并经双方现场确认；</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（6）组织召开作业要求交底会；</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（7）负责协调乙方在服务期间与相关部门、单位和有关人员的关系。协调推进乙方报告的监管类问题处置销项工作；</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（8）负责检查、考核乙方的日常工作；</w:t>
      </w:r>
      <w:r/>
    </w:p>
    <w:p>
      <w:pPr>
        <w:ind w:firstLine="480"/>
        <w:rPr>
          <w:rFonts w:hint="eastAsia" w:ascii="宋体" w:hAnsi="宋体" w:cs="宋体"/>
          <w:color w:val="auto"/>
          <w:szCs w:val="21"/>
          <w:highlight w:val="none"/>
          <w:u w:val="single"/>
        </w:rPr>
      </w:pPr>
      <w:r>
        <w:rPr>
          <w:rFonts w:hint="eastAsia" w:ascii="宋体" w:hAnsi="宋体" w:cs="宋体"/>
          <w:color w:val="auto"/>
          <w:szCs w:val="21"/>
          <w:highlight w:val="none"/>
        </w:rPr>
        <w:t xml:space="preserve">（9）甲方应履行的其他工作：</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4.乙方工作：</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负责编制年度服务方案和年（月）度服务计划，并按经甲方确认的方案和计划组织作业。建立排水（污）口巡查及水质检测档案，落实养护巡查、水质维护、问题处置、情况报告等义务，合理使用服务费用，确保河道设施完好、整洁有序；</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建立项目部、班组，配备技术管理人员和作业人员，配置必要的车辆、船只和设备。制订各项管理作业制度，确保工作有序开展。管理用房、工间休息室和材料、工具存放间等由乙方自行解决。除双方另有约定外，自行解决车辆及大型机械设备的停放；</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（3）建立健全管理档案，对服务工作中采集的信息、资料及时做好整理归档，并报送甲方备案。本合同委托期限届满，应将所有归档资料，以及服务范围内的各类设施完好地移交给甲方，</w:t>
      </w:r>
      <w:r>
        <w:rPr>
          <w:rFonts w:hint="eastAsia" w:ascii="宋体" w:hAnsi="宋体" w:cs="宋体"/>
          <w:color w:val="auto"/>
          <w:szCs w:val="21"/>
          <w:highlight w:val="none"/>
          <w:lang w:bidi="ar"/>
        </w:rPr>
        <w:t xml:space="preserve">并保证所采集的各种信息、资料不泄露给任何第三方</w:t>
      </w:r>
      <w:r>
        <w:rPr>
          <w:rFonts w:hint="eastAsia" w:ascii="宋体" w:hAnsi="宋体" w:cs="宋体"/>
          <w:color w:val="auto"/>
          <w:szCs w:val="21"/>
          <w:highlight w:val="none"/>
        </w:rPr>
        <w:t xml:space="preserve">；</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（4）遵守环境保护和安全生产的管理规定，做到文明施工作业。对外开放的服务区域，处理好服务工作与其他人员的关系。应按甲方指定位置堆放垃圾，除双方另有约定外，垃圾由乙方负责清理外运；</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（5）不得损坏服务范围内的地下管线和现有建筑物、构筑物等，</w:t>
      </w:r>
      <w:r>
        <w:rPr>
          <w:rFonts w:hint="eastAsia" w:ascii="宋体" w:hAnsi="宋体" w:cs="宋体"/>
          <w:color w:val="auto"/>
          <w:szCs w:val="21"/>
          <w:highlight w:val="none"/>
          <w:lang w:bidi="ar"/>
        </w:rPr>
        <w:t xml:space="preserve">所造成的他人损失由乙方自行承担责任</w:t>
      </w:r>
      <w:r>
        <w:rPr>
          <w:rFonts w:hint="eastAsia" w:ascii="宋体" w:hAnsi="宋体" w:cs="宋体"/>
          <w:color w:val="auto"/>
          <w:szCs w:val="21"/>
          <w:highlight w:val="none"/>
        </w:rPr>
        <w:t xml:space="preserve">；</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6）自觉接受甲方的检查和考核，实行周报制度，做好各类报表的制作、整理和上报工作。对甲方发出的整改通知，应及时按要求整改。乙方无正当理由拒绝整改的，甲方可以另行委托他人整改，所发生的整改费用由乙方承担；</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（7）对于在巡查中发现的问题，乙方应即知即改，不受养护和保洁频次限制；</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（8）负责工作人员的劳动保护和人身安全。除双方另有约定外，工作人员的食宿由乙方自行承担，</w:t>
      </w:r>
      <w:r>
        <w:rPr>
          <w:rFonts w:hint="eastAsia" w:ascii="宋体" w:hAnsi="宋体" w:cs="宋体"/>
          <w:color w:val="auto"/>
          <w:szCs w:val="21"/>
          <w:highlight w:val="none"/>
          <w:lang w:bidi="ar"/>
        </w:rPr>
        <w:t xml:space="preserve">在合同期间，乙方劳动人员的劳动争议、人身财产损失均由乙方自行负责处理，对于上述情况的发送乙方应当及时妥善处理，避免对正常工作造成影响</w:t>
      </w:r>
      <w:r>
        <w:rPr>
          <w:rFonts w:hint="eastAsia" w:ascii="宋体" w:hAnsi="宋体" w:cs="宋体"/>
          <w:color w:val="auto"/>
          <w:szCs w:val="21"/>
          <w:highlight w:val="none"/>
        </w:rPr>
        <w:t xml:space="preserve">；</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9）乙方因服务作业被有关部门行政处罚、责令停工（整改），或者由于安全措施不力，违反安全操作规程而导致安全责任事故的，所发生的行政罚款或经济损失全部由乙方承担。甲方并应按照本合同约定追究乙方的违约责任；</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（10）落实防汛工作责任制，成立防汛工作小组，编制防汛应急预案，配备必要的防汛抢险队伍、防汛设备和物资；</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（11）发现河道堤防护岸突发性险情，乙方应立即采取应急抢险措施，并及时向甲方报告；</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（12）汛情发生后，乙方应立即组织人员开展对河道设施及沿线构筑物安全进行全面检查。对检查中发现的问题，应当在第一时间采取必要有效措施并及时向甲方报告；</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（13）及时协助解决来信、来电、来访，并根据有关部门和甲方要求及时处置；</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（14）应按有关规定实行工作人员最低工资制度，落实各类津贴、补贴和福利措施。应按规定支付工作人员加班工资，并按规定缴纳工作人员的社会保险费等。</w:t>
      </w:r>
      <w:r/>
    </w:p>
    <w:p>
      <w:pPr>
        <w:ind w:firstLine="480"/>
        <w:rPr>
          <w:rFonts w:hint="eastAsia" w:ascii="宋体" w:hAnsi="宋体" w:cs="宋体"/>
          <w:color w:val="auto"/>
          <w:szCs w:val="21"/>
          <w:highlight w:val="none"/>
          <w:u w:val="single"/>
        </w:rPr>
      </w:pPr>
      <w:r>
        <w:rPr>
          <w:rFonts w:hint="eastAsia" w:ascii="宋体" w:hAnsi="宋体" w:cs="宋体"/>
          <w:color w:val="auto"/>
          <w:szCs w:val="21"/>
          <w:highlight w:val="none"/>
        </w:rPr>
        <w:t xml:space="preserve">（15）完成甲方交办的其他工作</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2"/>
        <w:rPr>
          <w:rFonts w:hint="eastAsia" w:ascii="宋体" w:hAnsi="宋体" w:cs="宋体"/>
          <w:b/>
          <w:color w:val="auto"/>
          <w:szCs w:val="21"/>
          <w:highlight w:val="none"/>
        </w:rPr>
      </w:pPr>
      <w:r/>
      <w:bookmarkStart w:id="58" w:name="_Toc1068_WPSOffice_Level2"/>
      <w:r/>
      <w:bookmarkStart w:id="59" w:name="_Toc20870_WPSOffice_Level2"/>
      <w:r>
        <w:rPr>
          <w:rFonts w:hint="eastAsia" w:ascii="宋体" w:hAnsi="宋体" w:cs="宋体"/>
          <w:b/>
          <w:color w:val="auto"/>
          <w:szCs w:val="21"/>
          <w:highlight w:val="none"/>
        </w:rPr>
        <w:t xml:space="preserve">第七条 服务方案及调整</w:t>
      </w:r>
      <w:bookmarkEnd w:id="58"/>
      <w:r/>
      <w:bookmarkEnd w:id="59"/>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1.服务方案和计划由乙方负责编制，并由乙方按照经甲方确认的河服务方案和计划组织作业。</w:t>
      </w:r>
      <w:bookmarkStart w:id="60" w:name="_Hlk83284745"/>
      <w:r>
        <w:rPr>
          <w:rFonts w:hint="eastAsia" w:ascii="宋体" w:hAnsi="宋体" w:cs="宋体"/>
          <w:color w:val="auto"/>
          <w:szCs w:val="21"/>
          <w:highlight w:val="none"/>
        </w:rPr>
        <w:t xml:space="preserve">各级巡查发现问题即知即改，不受养护和保洁频次限制。</w:t>
      </w:r>
      <w:r/>
    </w:p>
    <w:p>
      <w:pPr>
        <w:ind w:firstLine="480"/>
        <w:rPr>
          <w:rFonts w:hint="eastAsia" w:ascii="宋体" w:hAnsi="宋体" w:cs="宋体"/>
          <w:color w:val="auto"/>
          <w:szCs w:val="21"/>
          <w:highlight w:val="none"/>
          <w:u w:val="single"/>
        </w:rPr>
      </w:pPr>
      <w:r>
        <w:rPr>
          <w:rFonts w:hint="eastAsia" w:ascii="宋体" w:hAnsi="宋体" w:cs="宋体"/>
          <w:color w:val="auto"/>
          <w:szCs w:val="21"/>
          <w:highlight w:val="none"/>
        </w:rPr>
        <w:t xml:space="preserve">其他：</w:t>
      </w:r>
      <w:r>
        <w:rPr>
          <w:rFonts w:hint="eastAsia" w:ascii="宋体" w:hAnsi="宋体" w:cs="宋体"/>
          <w:color w:val="auto"/>
          <w:szCs w:val="21"/>
          <w:highlight w:val="none"/>
          <w:u w:val="single"/>
        </w:rPr>
        <w:t xml:space="preserve">                                      </w:t>
      </w:r>
      <w:bookmarkEnd w:id="60"/>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涉及重大活动或其他突发情况，甲方代表认为有必要暂停服务或调整服务方案时，应当以书面方式要求乙方调整服务时间或更改服务措施，乙方应服从甲方要求。除双方另有约定外，因该项暂停服务或调整服务方案导致费用增加的，由乙方承担。</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3.未经甲方书面同意，乙方不得自行调整服务时间或更改服务措施。</w:t>
      </w:r>
      <w:r/>
    </w:p>
    <w:p>
      <w:pPr>
        <w:ind w:firstLine="482"/>
        <w:rPr>
          <w:rFonts w:hint="eastAsia" w:ascii="宋体" w:hAnsi="宋体" w:cs="宋体"/>
          <w:b/>
          <w:color w:val="auto"/>
          <w:szCs w:val="21"/>
          <w:highlight w:val="none"/>
        </w:rPr>
      </w:pPr>
      <w:r/>
      <w:bookmarkStart w:id="61" w:name="_Toc12975_WPSOffice_Level2"/>
      <w:r/>
      <w:bookmarkStart w:id="62" w:name="_Toc14889_WPSOffice_Level2"/>
      <w:r>
        <w:rPr>
          <w:rFonts w:hint="eastAsia" w:ascii="宋体" w:hAnsi="宋体" w:cs="宋体"/>
          <w:b/>
          <w:color w:val="auto"/>
          <w:szCs w:val="21"/>
          <w:highlight w:val="none"/>
        </w:rPr>
        <w:t xml:space="preserve">第八条  安全防护及事故处理</w:t>
      </w:r>
      <w:bookmarkEnd w:id="61"/>
      <w:r/>
      <w:bookmarkEnd w:id="62"/>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1.一般要求：</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（1）服务期间，乙方应当严格遵守安全生产管理规定，并接受行业安全监督检查，采取必要安全防护措施，消除安全事故隐患。因乙方安全措施不力造成安全事故责任和相关费用的，由乙方承担；</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（2）应对工作人员进行安全生产教育，并对所属人员在服务期间的人身安全负责；</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（3）甲方不得要求乙方违反安全管理的规定进行作业。因甲方原因导致安全责任事故的，由甲方承担法律责任及全部费用。</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2.安全防范：</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（1）乙方应采取安全防护措施。除双方另有约定外，安全防护费用由乙方自行承担；</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（2）乙方应保证各项设施、物品安全使用，对于存在安全隐患的设施、物品，应及时提请甲方及时修理或更换。</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3.环境保护：</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乙方应遵守环境保护的有关规定。服务范围内的垃圾应按规定清理、外运。污废水未处理达标前，不得直接排入河道或公共排水设施。</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4.事故处理：</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（1）发生重大人员伤亡及其他安全事故的，乙方应按有关规定立即上报有关部门并通知甲方代表，并按有关部门要求及时处理，由此发生的费用由事故责任方承担；</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（2）甲、乙双方对发生的安全事故的责任有争议的，按有关部门责任认定处理。</w:t>
      </w:r>
      <w:r/>
    </w:p>
    <w:p>
      <w:pPr>
        <w:ind w:firstLine="482"/>
        <w:rPr>
          <w:rFonts w:hint="eastAsia" w:ascii="宋体" w:hAnsi="宋体" w:cs="宋体"/>
          <w:b/>
          <w:color w:val="auto"/>
          <w:szCs w:val="21"/>
          <w:highlight w:val="none"/>
        </w:rPr>
      </w:pPr>
      <w:r/>
      <w:bookmarkStart w:id="63" w:name="_Toc4998_WPSOffice_Level2"/>
      <w:r/>
      <w:bookmarkStart w:id="64" w:name="_Toc1476_WPSOffice_Level2"/>
      <w:r>
        <w:rPr>
          <w:rFonts w:hint="eastAsia" w:ascii="宋体" w:hAnsi="宋体" w:cs="宋体"/>
          <w:b/>
          <w:color w:val="auto"/>
          <w:szCs w:val="21"/>
          <w:highlight w:val="none"/>
        </w:rPr>
        <w:t xml:space="preserve">第九条  合同价款与支付</w:t>
      </w:r>
      <w:bookmarkEnd w:id="63"/>
      <w:r/>
      <w:bookmarkEnd w:id="64"/>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1.合同价款及调整</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（1）本合同价款总额为：</w:t>
      </w:r>
      <w:r>
        <w:rPr>
          <w:rFonts w:hint="eastAsia" w:ascii="宋体" w:hAnsi="宋体" w:cs="宋体"/>
          <w:b/>
          <w:bCs/>
          <w:color w:val="auto"/>
          <w:szCs w:val="21"/>
          <w:highlight w:val="none"/>
          <w:u w:val="single"/>
        </w:rPr>
        <w:t xml:space="preserve">人民币               （¥     ）</w:t>
      </w:r>
      <w:r>
        <w:rPr>
          <w:rFonts w:hint="eastAsia" w:ascii="宋体" w:hAnsi="宋体" w:cs="宋体"/>
          <w:color w:val="auto"/>
          <w:szCs w:val="21"/>
          <w:highlight w:val="none"/>
        </w:rPr>
        <w:t xml:space="preserve">。</w:t>
      </w:r>
      <w:r/>
    </w:p>
    <w:p>
      <w:pPr>
        <w:ind w:firstLine="480"/>
        <w:rPr>
          <w:rFonts w:hint="eastAsia" w:ascii="宋体" w:hAnsi="宋体" w:cs="宋体"/>
          <w:color w:val="auto"/>
          <w:szCs w:val="21"/>
          <w:highlight w:val="none"/>
          <w:u w:val="single"/>
        </w:rPr>
      </w:pPr>
      <w:r>
        <w:rPr>
          <w:rFonts w:hint="eastAsia" w:ascii="宋体" w:hAnsi="宋体" w:cs="宋体"/>
          <w:color w:val="auto"/>
          <w:szCs w:val="21"/>
          <w:highlight w:val="none"/>
        </w:rPr>
        <w:t xml:space="preserve">（2）双方约定，合同价款的调整因素、调整方法如下：</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（3）因乙方原因，导致服务费用增加或者采取补救措施增加的费用，乙方无权要求追加合同价款。</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2.合同价款支付方式：</w:t>
      </w:r>
      <w:r/>
    </w:p>
    <w:p>
      <w:pPr>
        <w:ind w:firstLine="480"/>
        <w:rPr>
          <w:rFonts w:hint="default"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rPr>
        <w:t xml:space="preserve">每半年度结算一次保洁费用</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付款节点以合同上签订的服务起始之日起计算。</w:t>
      </w:r>
      <w:r/>
    </w:p>
    <w:p>
      <w:pPr>
        <w:ind w:firstLine="420"/>
        <w:jc w:val="left"/>
        <w:shd w:val="clear" w:color="ffffff" w:themeColor="background1" w:fill="ffffff" w:themeFill="background1"/>
        <w:widowControl/>
        <w:rPr>
          <w:rFonts w:hint="default"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每次结算金额=(合同总金额*65%)/2；合同总金额剩余的35%作为考核经费待当年度所有月度考核完成后，按考核规则核算后3个月内完成拨付。</w:t>
      </w:r>
      <w:r/>
    </w:p>
    <w:p>
      <w:pPr>
        <w:ind w:firstLine="480"/>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合同价款的支付与服务质量挂钩。达不到本合同约定服务质量要求的，按本合同</w:t>
      </w:r>
      <w:r>
        <w:rPr>
          <w:rFonts w:hint="eastAsia" w:ascii="宋体" w:hAnsi="宋体" w:cs="宋体"/>
          <w:color w:val="auto"/>
          <w:szCs w:val="21"/>
          <w:highlight w:val="none"/>
          <w:u w:val="single"/>
          <w:lang w:val="en-US" w:eastAsia="zh-CN"/>
        </w:rPr>
        <w:t xml:space="preserve">附件4、附件5</w:t>
      </w:r>
      <w:r>
        <w:rPr>
          <w:rFonts w:hint="eastAsia" w:ascii="宋体" w:hAnsi="宋体" w:cs="宋体"/>
          <w:color w:val="auto"/>
          <w:szCs w:val="21"/>
          <w:highlight w:val="none"/>
          <w:u w:val="single"/>
        </w:rPr>
        <w:t xml:space="preserve">（考核</w:t>
      </w:r>
      <w:r>
        <w:rPr>
          <w:rFonts w:hint="eastAsia" w:ascii="宋体" w:hAnsi="宋体" w:cs="宋体"/>
          <w:color w:val="auto"/>
          <w:szCs w:val="21"/>
          <w:highlight w:val="none"/>
          <w:u w:val="single"/>
          <w:lang w:val="en-US" w:eastAsia="zh-CN"/>
        </w:rPr>
        <w:t xml:space="preserve">措施</w:t>
      </w:r>
      <w:r>
        <w:rPr>
          <w:rFonts w:hint="eastAsia" w:ascii="宋体" w:hAnsi="宋体" w:cs="宋体"/>
          <w:color w:val="auto"/>
          <w:szCs w:val="21"/>
          <w:highlight w:val="none"/>
          <w:u w:val="single"/>
        </w:rPr>
        <w:t xml:space="preserve">）核减。</w:t>
      </w:r>
      <w:r/>
    </w:p>
    <w:p>
      <w:pPr>
        <w:ind w:firstLine="482"/>
        <w:rPr>
          <w:rFonts w:hint="eastAsia" w:ascii="宋体" w:hAnsi="宋体" w:cs="宋体"/>
          <w:b/>
          <w:color w:val="auto"/>
          <w:szCs w:val="21"/>
          <w:highlight w:val="none"/>
        </w:rPr>
      </w:pPr>
      <w:r/>
      <w:bookmarkStart w:id="65" w:name="_Toc1272_WPSOffice_Level2"/>
      <w:r/>
      <w:bookmarkStart w:id="66" w:name="_Toc8052_WPSOffice_Level2"/>
      <w:r>
        <w:rPr>
          <w:rFonts w:hint="eastAsia" w:ascii="宋体" w:hAnsi="宋体" w:cs="宋体"/>
          <w:b/>
          <w:color w:val="auto"/>
          <w:szCs w:val="21"/>
          <w:highlight w:val="none"/>
        </w:rPr>
        <w:t xml:space="preserve">第十条  机械、材料、器具设备</w:t>
      </w:r>
      <w:bookmarkEnd w:id="65"/>
      <w:r/>
      <w:bookmarkEnd w:id="66"/>
      <w:r/>
      <w:r/>
    </w:p>
    <w:p>
      <w:pPr>
        <w:ind w:firstLine="480"/>
        <w:rPr>
          <w:rFonts w:hint="eastAsia" w:ascii="宋体" w:hAnsi="宋体" w:cs="宋体"/>
          <w:color w:val="auto"/>
          <w:szCs w:val="21"/>
          <w:highlight w:val="none"/>
        </w:rPr>
      </w:pPr>
      <w:r/>
      <w:bookmarkStart w:id="67" w:name="_Toc20977_WPSOffice_Level2"/>
      <w:r/>
      <w:bookmarkStart w:id="68" w:name="_Toc19791_WPSOffice_Level2"/>
      <w:r>
        <w:rPr>
          <w:rFonts w:hint="eastAsia" w:ascii="宋体" w:hAnsi="宋体" w:cs="宋体"/>
          <w:color w:val="auto"/>
          <w:szCs w:val="21"/>
          <w:highlight w:val="none"/>
        </w:rPr>
        <w:t xml:space="preserve">服务所需的机械、材料、器具设备等，由乙方自行解决。乙方材料的质量、品种、规格等，应当符合国家规定的标准。有特殊情况的，可按补充约定的方式采购或配备。</w:t>
      </w:r>
      <w:r/>
    </w:p>
    <w:p>
      <w:pPr>
        <w:ind w:firstLine="482"/>
        <w:rPr>
          <w:rFonts w:hint="eastAsia" w:ascii="宋体" w:hAnsi="宋体" w:cs="宋体"/>
          <w:b/>
          <w:color w:val="auto"/>
          <w:szCs w:val="21"/>
          <w:highlight w:val="none"/>
        </w:rPr>
      </w:pPr>
      <w:r>
        <w:rPr>
          <w:rFonts w:hint="eastAsia" w:ascii="宋体" w:hAnsi="宋体" w:cs="宋体"/>
          <w:b/>
          <w:color w:val="auto"/>
          <w:szCs w:val="21"/>
          <w:highlight w:val="none"/>
        </w:rPr>
        <w:t xml:space="preserve">第十一条  违约责任</w:t>
      </w:r>
      <w:bookmarkEnd w:id="67"/>
      <w:r/>
      <w:bookmarkEnd w:id="68"/>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1.甲方违约责任：</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（1）甲方未按本合同约定支付合同价款的，应按银行同期贷款利息计算向乙方支付逾期违约金。甲方逾期付款超过</w:t>
      </w:r>
      <w:r>
        <w:rPr>
          <w:rFonts w:hint="eastAsia" w:ascii="宋体" w:hAnsi="宋体" w:cs="宋体"/>
          <w:color w:val="auto"/>
          <w:szCs w:val="21"/>
          <w:highlight w:val="none"/>
          <w:u w:val="single"/>
        </w:rPr>
        <w:t xml:space="preserve">30</w:t>
      </w:r>
      <w:r>
        <w:rPr>
          <w:rFonts w:hint="eastAsia" w:ascii="宋体" w:hAnsi="宋体" w:cs="宋体"/>
          <w:color w:val="auto"/>
          <w:szCs w:val="21"/>
          <w:highlight w:val="none"/>
        </w:rPr>
        <w:t xml:space="preserve">天的，乙方可暂停作业，由此造成的经济损失由甲方承担；</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（2）甲方未按本合同约定履行其他义务的，应按本合同价款总额的10%计算向乙方支付违约金；</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（3）因甲方原因造成河道设施损坏或人员伤害的，由甲方承担赔偿责任；</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（4）甲方应承担的其他违约责任：</w:t>
      </w:r>
      <w:r/>
    </w:p>
    <w:p>
      <w:pPr>
        <w:ind w:firstLine="480"/>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2.乙方违约责任：</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（1）服务质量未达到本合同约定要求的，乙方应采取补救措施，并赔偿甲方由此造成的经济损失；</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（2）未经甲方同意，乙方擅自更改、调整服务方案的，应按本合同价款总额的10%计算向甲方支付违约金。由此造成甲方经济损失的，应承担赔偿责任；</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（3）乙方未按本合同约定履行其他义务的，应按本合同价款总额的10%计算向乙方支付违约金；</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（4）乙方擅自将本合同义务全部或者部分转包、分包由第三方履行的，应按本合同价款总额的30%计算向甲方支付违约金，甲方并有权解除本合同；</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5）合同期间，由于乙方管理不善，未能遵守国家有关环境保护的政策、法规。多次受到政府部门处罚、停工、整改或者由于乙方安全措施不力，多次违反安全操作规程而造成损失，甲方有权终止合同并保留追究乙方违约责任的权利。</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（6）乙方不得将在履行合同义务的过程中知悉的甲方信息、资料或由于履行义务而采集的信息、资料泄露给第三方，若因乙方信息、资料泄露造成的损失，甲方有权要求乙方承担赔偿责任。</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（7）乙方应承担的其他违约责任：</w:t>
      </w:r>
      <w:r/>
    </w:p>
    <w:p>
      <w:pPr>
        <w:ind w:firstLine="480"/>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2"/>
        <w:rPr>
          <w:rFonts w:hint="eastAsia" w:ascii="宋体" w:hAnsi="宋体" w:cs="宋体"/>
          <w:b/>
          <w:color w:val="auto"/>
          <w:szCs w:val="21"/>
          <w:highlight w:val="none"/>
        </w:rPr>
      </w:pPr>
      <w:r/>
      <w:bookmarkStart w:id="69" w:name="_Toc16809_WPSOffice_Level2"/>
      <w:r/>
      <w:bookmarkStart w:id="70" w:name="_Toc12167_WPSOffice_Level2"/>
      <w:r>
        <w:rPr>
          <w:rFonts w:hint="eastAsia" w:ascii="宋体" w:hAnsi="宋体" w:cs="宋体"/>
          <w:b/>
          <w:color w:val="auto"/>
          <w:szCs w:val="21"/>
          <w:highlight w:val="none"/>
        </w:rPr>
        <w:t xml:space="preserve">第十二条  </w:t>
      </w:r>
      <w:bookmarkEnd w:id="69"/>
      <w:r/>
      <w:bookmarkEnd w:id="70"/>
      <w:r/>
      <w:bookmarkStart w:id="71" w:name="_Toc24265_WPSOffice_Level2"/>
      <w:r/>
      <w:bookmarkStart w:id="72" w:name="_Toc4081_WPSOffice_Level2"/>
      <w:r>
        <w:rPr>
          <w:rFonts w:hint="eastAsia" w:ascii="宋体" w:hAnsi="宋体" w:cs="宋体"/>
          <w:b/>
          <w:color w:val="auto"/>
          <w:szCs w:val="21"/>
          <w:highlight w:val="none"/>
        </w:rPr>
        <w:t xml:space="preserve">争议解决</w:t>
      </w:r>
      <w:bookmarkEnd w:id="71"/>
      <w:r/>
      <w:bookmarkEnd w:id="72"/>
      <w:r>
        <w:rPr>
          <w:rFonts w:hint="eastAsia" w:ascii="宋体" w:hAnsi="宋体" w:cs="宋体"/>
          <w:b/>
          <w:color w:val="auto"/>
          <w:szCs w:val="21"/>
          <w:highlight w:val="none"/>
        </w:rPr>
        <w:t xml:space="preserve">方式</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合同签订后双方即直接产生权利与义务的关系，合同执行过程中出现的问题应按照《民法典》的规定处理，因履行本合同发生的争议，由双方当事人协商解决。协商不成或不愿协商的，双方同意按下列第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种方式解决：</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（1）提交</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仲裁委员会仲裁；</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（2）依法向甲方所在地人民法院起诉。</w:t>
      </w:r>
      <w:r/>
    </w:p>
    <w:p>
      <w:pPr>
        <w:ind w:firstLine="482"/>
        <w:rPr>
          <w:rFonts w:hint="eastAsia" w:ascii="宋体" w:hAnsi="宋体" w:cs="宋体"/>
          <w:b/>
          <w:color w:val="auto"/>
          <w:szCs w:val="21"/>
          <w:highlight w:val="none"/>
        </w:rPr>
      </w:pPr>
      <w:r>
        <w:rPr>
          <w:rFonts w:hint="eastAsia" w:ascii="宋体" w:hAnsi="宋体" w:cs="宋体"/>
          <w:b/>
          <w:color w:val="auto"/>
          <w:szCs w:val="21"/>
          <w:highlight w:val="none"/>
        </w:rPr>
        <w:t xml:space="preserve">第十三条  其他约定事项</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1.本合同未尽事项，由甲、乙双方签订补充协议确定。补充协议与本合同具有同等法律效力。</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2.本合同一式</w:t>
      </w:r>
      <w:r>
        <w:rPr>
          <w:rFonts w:hint="eastAsia" w:ascii="宋体" w:hAnsi="宋体" w:cs="宋体"/>
          <w:color w:val="auto"/>
          <w:szCs w:val="21"/>
          <w:highlight w:val="none"/>
          <w:u w:val="single"/>
        </w:rPr>
        <w:t xml:space="preserve">陆</w:t>
      </w:r>
      <w:r>
        <w:rPr>
          <w:rFonts w:hint="eastAsia" w:ascii="宋体" w:hAnsi="宋体" w:cs="宋体"/>
          <w:color w:val="auto"/>
          <w:szCs w:val="21"/>
          <w:highlight w:val="none"/>
        </w:rPr>
        <w:t xml:space="preserve">份，甲、乙双方各执</w:t>
      </w:r>
      <w:r>
        <w:rPr>
          <w:rFonts w:hint="eastAsia" w:ascii="宋体" w:hAnsi="宋体" w:cs="宋体"/>
          <w:color w:val="auto"/>
          <w:szCs w:val="21"/>
          <w:highlight w:val="none"/>
          <w:u w:val="single"/>
        </w:rPr>
        <w:t xml:space="preserve">贰</w:t>
      </w:r>
      <w:r>
        <w:rPr>
          <w:rFonts w:hint="eastAsia" w:ascii="宋体" w:hAnsi="宋体" w:cs="宋体"/>
          <w:color w:val="auto"/>
          <w:szCs w:val="21"/>
          <w:highlight w:val="none"/>
        </w:rPr>
        <w:t xml:space="preserve">份、招标代理机构和备案机构各执</w:t>
      </w:r>
      <w:r>
        <w:rPr>
          <w:rFonts w:hint="eastAsia" w:ascii="宋体" w:hAnsi="宋体" w:cs="宋体"/>
          <w:color w:val="auto"/>
          <w:szCs w:val="21"/>
          <w:highlight w:val="none"/>
          <w:lang w:val="en-US" w:eastAsia="zh-CN"/>
        </w:rPr>
        <w:t xml:space="preserve">壹</w:t>
      </w:r>
      <w:r>
        <w:rPr>
          <w:rFonts w:hint="eastAsia" w:ascii="宋体" w:hAnsi="宋体" w:cs="宋体"/>
          <w:color w:val="auto"/>
          <w:szCs w:val="21"/>
          <w:highlight w:val="none"/>
        </w:rPr>
        <w:t xml:space="preserve">份。</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3.合同经甲乙双方代表签字并加盖公章（或合同章）后即生效。</w:t>
      </w:r>
      <w:r>
        <w:rPr>
          <w:rFonts w:hint="eastAsia" w:ascii="宋体" w:hAnsi="宋体" w:cs="宋体"/>
          <w:color w:val="auto"/>
          <w:highlight w:val="none"/>
        </w:rPr>
        <w:t xml:space="preserve">生效合同需在2个工作日内送至招标代理机构上传系统备案。</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4.补充条款：</w:t>
      </w:r>
      <w:r/>
    </w:p>
    <w:p>
      <w:pPr>
        <w:rPr>
          <w:rFonts w:hint="eastAsia" w:ascii="宋体" w:hAnsi="宋体" w:cs="宋体"/>
          <w:b/>
          <w:color w:val="auto"/>
          <w:szCs w:val="21"/>
          <w:highlight w:val="none"/>
          <w:u w:val="singl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p>
    <w:p>
      <w:pPr>
        <w:pStyle w:val="1100"/>
        <w:rPr>
          <w:color w:val="auto"/>
          <w:highlight w:val="none"/>
        </w:rPr>
      </w:pPr>
      <w:r>
        <w:rPr>
          <w:color w:val="auto"/>
          <w:highlight w:val="none"/>
        </w:rPr>
      </w:r>
      <w:r/>
    </w:p>
    <w:tbl>
      <w:tblPr>
        <w:tblStyle w:val="110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26"/>
        <w:gridCol w:w="4460"/>
      </w:tblGrid>
      <w:tr>
        <w:trPr/>
        <w:tc>
          <w:tcPr>
            <w:tcW w:w="2598" w:type="pct"/>
            <w:textDirection w:val="lrTb"/>
            <w:noWrap w:val="false"/>
          </w:tcPr>
          <w:p>
            <w:pPr>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甲方（签章）：</w:t>
            </w:r>
            <w:r/>
          </w:p>
          <w:p>
            <w:pPr>
              <w:pStyle w:val="1093"/>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法人代表                </w:t>
            </w:r>
            <w:r/>
          </w:p>
          <w:p>
            <w:pPr>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或其授权代理人（签章）：</w:t>
            </w:r>
            <w:r/>
          </w:p>
          <w:p>
            <w:pPr>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1890"/>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年   月   日    </w:t>
            </w:r>
            <w:r/>
          </w:p>
        </w:tc>
        <w:tc>
          <w:tcPr>
            <w:tcW w:w="2401" w:type="pct"/>
            <w:textDirection w:val="lrTb"/>
            <w:noWrap w:val="false"/>
          </w:tcPr>
          <w:p>
            <w:pPr>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乙方（签章）：</w:t>
            </w:r>
            <w:r/>
          </w:p>
          <w:p>
            <w:pPr>
              <w:pStyle w:val="1093"/>
              <w:rPr>
                <w:rFonts w:hint="eastAsia" w:hAnsi="宋体" w:cs="宋体"/>
                <w:color w:val="auto"/>
                <w:szCs w:val="21"/>
                <w:highlight w:val="none"/>
              </w:rPr>
            </w:pPr>
            <w:r>
              <w:rPr>
                <w:rFonts w:hint="eastAsia" w:hAnsi="宋体" w:cs="宋体"/>
                <w:color w:val="auto"/>
                <w:szCs w:val="21"/>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法人代表</w:t>
            </w:r>
            <w:r/>
          </w:p>
          <w:p>
            <w:pPr>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或其授权代理人（签章）：</w:t>
            </w:r>
            <w:r/>
          </w:p>
          <w:p>
            <w:pPr>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1470"/>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tc>
      </w:tr>
    </w:tbl>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rPr>
          <w:rFonts w:hint="eastAsia" w:ascii="宋体" w:hAnsi="宋体" w:cs="宋体"/>
          <w:color w:val="auto"/>
          <w:szCs w:val="21"/>
          <w:highlight w:val="none"/>
        </w:rPr>
      </w:pPr>
      <w:r>
        <w:rPr>
          <w:rFonts w:hint="eastAsia" w:ascii="宋体" w:hAnsi="宋体" w:cs="宋体"/>
          <w:color w:val="auto"/>
          <w:szCs w:val="21"/>
          <w:highlight w:val="none"/>
        </w:rPr>
        <w:t xml:space="preserve">附件1</w:t>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安全管理协议书</w:t>
      </w:r>
      <w:r/>
    </w:p>
    <w:p>
      <w:pPr>
        <w:rPr>
          <w:rFonts w:hint="eastAsia" w:ascii="宋体" w:hAnsi="宋体" w:cs="宋体"/>
          <w:color w:val="auto"/>
          <w:szCs w:val="21"/>
          <w:highlight w:val="none"/>
          <w:u w:val="single"/>
        </w:rPr>
      </w:pPr>
      <w:r>
        <w:rPr>
          <w:rFonts w:hint="eastAsia" w:ascii="宋体" w:hAnsi="宋体" w:cs="宋体"/>
          <w:color w:val="auto"/>
          <w:szCs w:val="21"/>
          <w:highlight w:val="none"/>
        </w:rPr>
        <w:t xml:space="preserve">甲方：</w:t>
      </w:r>
      <w:r>
        <w:rPr>
          <w:rFonts w:hint="eastAsia" w:ascii="宋体" w:hAnsi="宋体" w:cs="宋体"/>
          <w:color w:val="auto"/>
          <w:szCs w:val="21"/>
          <w:highlight w:val="none"/>
          <w:u w:val="single"/>
        </w:rPr>
        <w:t xml:space="preserve">                         </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乙方：</w:t>
      </w:r>
      <w:r>
        <w:rPr>
          <w:rFonts w:hint="eastAsia" w:ascii="宋体" w:hAnsi="宋体" w:cs="宋体"/>
          <w:color w:val="auto"/>
          <w:szCs w:val="21"/>
          <w:highlight w:val="none"/>
          <w:u w:val="single"/>
        </w:rPr>
        <w:t xml:space="preserve">                         </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为了贯彻“安全第一、预防为主”的方针，根据国家有关规定，明确双方的安全生产责任，确保养护安全。双方签定协议如下：</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1.本协议为双方签定的汾湖高新区两河两湖水面保洁主合同的附件。本协议安全管理范围期限随主合同合同履行期限。</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2.双方必须认真贯彻国家、上海市和上级劳动保护、安全生产主管部门颁发的有关安全生产、水上作业、消防工作的方针、政策，严格执行有关劳动保护法规、条例、规定。</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3.乙方应建立安全管理体制，落实分管领导负责安全生产工作，设置专职安全生产干部（有证）负责安全生产教育、检查等工作，建立完善各工种的安全操作规程，特种作业人员的审证考核制度及各级安全生产岗位责任制和定期安全检查制度、安全教育制度等。</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4.定期对本单位职工进行安全生产制度及安全技术知识教育，增强法制观念，提高职工的安全生产意识和自我保护的能力，督促职工自觉遵守安全生产纪律、制度和法规。</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5.乙方应认真勘察现场，按甲方要求制定有针对性的安全技术措施，对管理人员和养护人员进行安全生产现场教育；并应召开安全生产交底会，由甲方指派有关人员出席，介绍养护工作中有关安全、防火等规章制度及要求；乙方必须检查、督促养护人员严格遵守，认真执行。</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6.乙方指派同志负责设施养护工作有关安全工作；甲方指派同志负责联系、检查、督促乙方执行有关安全工作，共同预防事故的发生。乙方在养护合同期内必须严格执行和遵守安全生产管理的各项规定。</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7.乙方应做好水上作业安全防范工作，避免发生过往船只、漂浮物对水上施工设施、构筑物的意外碰撞事故；凡进行水上作业必须配备必要的救生器材，并组织专人负责救援工作；水上作业人员必须穿着救生衣，不得一人单独作业，必须具备熟悉水性的基本条件。</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8.贯彻“谁养护、谁负责”的原则，双方人员在养护期间造成伤亡、火灾（火警）、机械等重大事故（包括一方责任造成对方人员、他方人员、行人伤亡等），双方应协力紧急抢救伤员和保护现场，按国务院及上海市有关规定及时报告各自的上级主管部门及市、区（县）劳动保护监察部门等有关机构。事故的损失和善后处理费用，应按责任协商解决。</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9.成交单位应在签订合同后将安全生产工作组织机构、管理网络以及应急预案报甲方审批。</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10.本协议的各项规定适用于立协单位双方。如遇有同国家和相关地方的有关法规不符者，按国家和相关地方的有关规定执行。</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11.双方必须严格执行本协议，由于违反本协议而造成伤亡事故的，由违约方承担一切经济损失。 </w:t>
      </w:r>
      <w:r/>
    </w:p>
    <w:tbl>
      <w:tblPr>
        <w:tblStyle w:val="1092"/>
        <w:tblW w:w="0" w:type="auto"/>
        <w:jc w:val="center"/>
        <w:tblLayout w:type="fixed"/>
        <w:tblCellMar>
          <w:left w:w="108" w:type="dxa"/>
          <w:top w:w="0" w:type="dxa"/>
          <w:right w:w="108" w:type="dxa"/>
          <w:bottom w:w="0" w:type="dxa"/>
        </w:tblCellMar>
        <w:tblLook w:val="04A0" w:firstRow="1" w:lastRow="0" w:firstColumn="1" w:lastColumn="0" w:noHBand="0" w:noVBand="1"/>
      </w:tblPr>
      <w:tblGrid>
        <w:gridCol w:w="4386"/>
        <w:gridCol w:w="4060"/>
      </w:tblGrid>
      <w:tr>
        <w:trPr>
          <w:jc w:val="center"/>
          <w:trHeight w:val="2490"/>
        </w:trPr>
        <w:tc>
          <w:tcPr>
            <w:tcW w:w="4386"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甲方（盖章）：</w:t>
            </w:r>
            <w:r/>
          </w:p>
        </w:tc>
        <w:tc>
          <w:tcPr>
            <w:tcW w:w="4060"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乙方（盖章）：</w:t>
            </w:r>
            <w:r/>
          </w:p>
        </w:tc>
      </w:tr>
      <w:tr>
        <w:trPr>
          <w:jc w:val="center"/>
          <w:trHeight w:val="607"/>
        </w:trPr>
        <w:tc>
          <w:tcPr>
            <w:tcW w:w="4386"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法定（授权）代表人（签字）：</w:t>
            </w:r>
            <w:r/>
          </w:p>
        </w:tc>
        <w:tc>
          <w:tcPr>
            <w:tcW w:w="4060"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法定（授权）代表人（签字）：</w:t>
            </w:r>
            <w:r/>
          </w:p>
        </w:tc>
      </w:tr>
      <w:tr>
        <w:trPr>
          <w:jc w:val="center"/>
        </w:trPr>
        <w:tc>
          <w:tcPr>
            <w:tcW w:w="4386"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tc>
        <w:tc>
          <w:tcPr>
            <w:tcW w:w="4060"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tc>
      </w:tr>
    </w:tbl>
    <w:p>
      <w:pPr>
        <w:rPr>
          <w:rFonts w:hint="eastAsia" w:ascii="宋体" w:hAnsi="宋体" w:cs="宋体"/>
          <w:color w:val="auto"/>
          <w:szCs w:val="21"/>
          <w:highlight w:val="none"/>
        </w:rPr>
        <w:sectPr>
          <w:footerReference w:type="default" r:id="rId18"/>
          <w:footnotePr/>
          <w:endnotePr/>
          <w:type w:val="nextPage"/>
          <w:pgSz w:w="11906" w:h="16838" w:orient="portrait"/>
          <w:pgMar w:top="1440" w:right="1417" w:bottom="1440" w:left="1417" w:header="851" w:footer="992" w:gutter="0"/>
          <w:pgNumType w:start="1"/>
          <w:cols w:num="1" w:sep="0" w:space="720" w:equalWidth="1"/>
          <w:docGrid w:linePitch="360"/>
        </w:sect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附件2</w:t>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治安消防协议书</w:t>
      </w:r>
      <w:r/>
    </w:p>
    <w:p>
      <w:pPr>
        <w:rPr>
          <w:rFonts w:hint="eastAsia" w:ascii="宋体" w:hAnsi="宋体" w:cs="宋体"/>
          <w:color w:val="auto"/>
          <w:szCs w:val="21"/>
          <w:highlight w:val="none"/>
          <w:u w:val="single"/>
        </w:rPr>
      </w:pPr>
      <w:r>
        <w:rPr>
          <w:rFonts w:hint="eastAsia" w:ascii="宋体" w:hAnsi="宋体" w:cs="宋体"/>
          <w:color w:val="auto"/>
          <w:szCs w:val="21"/>
          <w:highlight w:val="none"/>
        </w:rPr>
        <w:t xml:space="preserve">甲方：</w:t>
      </w:r>
      <w:r>
        <w:rPr>
          <w:rFonts w:hint="eastAsia" w:ascii="宋体" w:hAnsi="宋体" w:cs="宋体"/>
          <w:color w:val="auto"/>
          <w:szCs w:val="21"/>
          <w:highlight w:val="none"/>
          <w:u w:val="single"/>
        </w:rPr>
        <w:t xml:space="preserve">                         </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乙方：</w:t>
      </w:r>
      <w:r>
        <w:rPr>
          <w:rFonts w:hint="eastAsia" w:ascii="宋体" w:hAnsi="宋体" w:cs="宋体"/>
          <w:color w:val="auto"/>
          <w:szCs w:val="21"/>
          <w:highlight w:val="none"/>
          <w:u w:val="single"/>
        </w:rPr>
        <w:t xml:space="preserve">                         </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为了贯彻《中华人民共和国消防法》等精神，进一步做好内部治安、消防管理工作，落实“谁主管、谁负责”的原则，维护好内部秩序，为深化改革和经济建设创造一个良好的环境。为此，双方签定协议如下：</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1.本协议为双方签定的汾湖高新区两河两湖水面保洁主合同的附件。本协议安全管理范围期限随主合同合同履行期限。</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2.乙方法定代表人为，项目负责人为，治安消防负责人为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，上述人员应对项目治安消防工作负责，甲方指定负责联系有关事宜。</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3.乙方应将治安、消防工作纳入施工大纲。</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4.乙方应加强内部管理，确保内部稳定；落实各项安全防范措施，防止各类治安、刑事及治安灾害等事故的发生；调节各类纠纷，化解各类不安定因素。</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5.乙方应对职工做好经常性的治安、法制、消防知识教育及消防器材使用培训，建立防火安全责任制，配齐必要的消防器材且处于完好临战状态，提高自防自救能力。</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6.严禁赌博、偷盗公私财物，不准打架和聚众斗欧。乙方进场后，施工人员应自觉遵守甲方有关规定、要求。</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7.甲方在乙方进场前，须向乙方进行治安、消防、外来人员管理等方面的工作交底。</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8.甲方不定期对乙方进行检查，落实各项治安防范措施，加强信息沟通，及时了解掌握承包单位不安定因素和各类闹事苗子，会同有关部门和乙方研究对策，疏导化解矛盾。</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9.甲乙方要协助有关部门查处刑事、治安、火灾及其他事故，积极维护双方合法权益。</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t xml:space="preserve">10.本协议经双方签字盖章后生效。</w:t>
      </w:r>
      <w:r/>
    </w:p>
    <w:tbl>
      <w:tblPr>
        <w:tblStyle w:val="1092"/>
        <w:tblW w:w="0" w:type="auto"/>
        <w:jc w:val="center"/>
        <w:tblLayout w:type="fixed"/>
        <w:tblCellMar>
          <w:left w:w="108" w:type="dxa"/>
          <w:top w:w="0" w:type="dxa"/>
          <w:right w:w="108" w:type="dxa"/>
          <w:bottom w:w="0" w:type="dxa"/>
        </w:tblCellMar>
        <w:tblLook w:val="04A0" w:firstRow="1" w:lastRow="0" w:firstColumn="1" w:lastColumn="0" w:noHBand="0" w:noVBand="1"/>
      </w:tblPr>
      <w:tblGrid>
        <w:gridCol w:w="4386"/>
        <w:gridCol w:w="4060"/>
      </w:tblGrid>
      <w:tr>
        <w:trPr>
          <w:jc w:val="center"/>
          <w:trHeight w:val="930"/>
        </w:trPr>
        <w:tc>
          <w:tcPr>
            <w:tcW w:w="4386"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甲方（盖章）：</w:t>
            </w:r>
            <w:r/>
          </w:p>
        </w:tc>
        <w:tc>
          <w:tcPr>
            <w:tcW w:w="4060"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乙方（盖章）：</w:t>
            </w:r>
            <w:r/>
          </w:p>
        </w:tc>
      </w:tr>
      <w:tr>
        <w:trPr>
          <w:jc w:val="center"/>
          <w:trHeight w:val="607"/>
        </w:trPr>
        <w:tc>
          <w:tcPr>
            <w:tcW w:w="4386"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法定（授权）代表人（签字）：</w:t>
            </w:r>
            <w:r/>
          </w:p>
        </w:tc>
        <w:tc>
          <w:tcPr>
            <w:tcW w:w="4060"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法定（授权）代表人（签字）：</w:t>
            </w:r>
            <w:r/>
          </w:p>
        </w:tc>
      </w:tr>
      <w:tr>
        <w:trPr>
          <w:jc w:val="center"/>
        </w:trPr>
        <w:tc>
          <w:tcPr>
            <w:tcW w:w="4386"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tc>
        <w:tc>
          <w:tcPr>
            <w:tcW w:w="4060"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rPr>
          <w:rFonts w:hint="eastAsia" w:ascii="宋体" w:hAnsi="宋体" w:cs="宋体"/>
          <w:color w:val="auto"/>
          <w:szCs w:val="21"/>
          <w:highlight w:val="none"/>
        </w:rPr>
      </w:pPr>
      <w:r>
        <w:rPr>
          <w:rFonts w:hint="eastAsia" w:ascii="宋体" w:hAnsi="宋体" w:cs="宋体"/>
          <w:color w:val="auto"/>
          <w:szCs w:val="21"/>
          <w:highlight w:val="none"/>
        </w:rPr>
        <w:t xml:space="preserve">附件3</w:t>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廉政协议书</w:t>
      </w:r>
      <w:r/>
    </w:p>
    <w:p>
      <w:pPr>
        <w:rPr>
          <w:rFonts w:hint="eastAsia" w:ascii="宋体" w:hAnsi="宋体" w:cs="宋体"/>
          <w:color w:val="auto"/>
          <w:szCs w:val="21"/>
          <w:highlight w:val="none"/>
          <w:u w:val="single"/>
        </w:rPr>
      </w:pPr>
      <w:r>
        <w:rPr>
          <w:rFonts w:hint="eastAsia" w:ascii="宋体" w:hAnsi="宋体" w:cs="宋体"/>
          <w:color w:val="auto"/>
          <w:szCs w:val="21"/>
          <w:highlight w:val="none"/>
        </w:rPr>
        <w:t xml:space="preserve">甲方：</w:t>
      </w:r>
      <w:r>
        <w:rPr>
          <w:rFonts w:hint="eastAsia" w:ascii="宋体" w:hAnsi="宋体" w:cs="宋体"/>
          <w:color w:val="auto"/>
          <w:szCs w:val="21"/>
          <w:highlight w:val="none"/>
          <w:u w:val="single"/>
        </w:rPr>
        <w:t xml:space="preserve">                         </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乙方：</w:t>
      </w:r>
      <w:r>
        <w:rPr>
          <w:rFonts w:hint="eastAsia" w:ascii="宋体" w:hAnsi="宋体" w:cs="宋体"/>
          <w:color w:val="auto"/>
          <w:szCs w:val="21"/>
          <w:highlight w:val="none"/>
          <w:u w:val="single"/>
        </w:rPr>
        <w:t xml:space="preserve">                         </w:t>
      </w:r>
      <w:r/>
    </w:p>
    <w:p>
      <w:pPr>
        <w:ind w:firstLine="556"/>
        <w:keepLines w:val="0"/>
        <w:keepNext w:val="0"/>
        <w:pageBreakBefore w:val="0"/>
        <w:spacing w:line="44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为了确保维修养护项目安全、优质、按时完成，教育干部职工在维修养护管理中加强廉洁自律，提高反贪防腐能力，经双方同意，签定本协议。</w:t>
      </w:r>
      <w:r/>
    </w:p>
    <w:p>
      <w:pPr>
        <w:ind w:firstLine="556"/>
        <w:keepLines w:val="0"/>
        <w:keepNext w:val="0"/>
        <w:pageBreakBefore w:val="0"/>
        <w:spacing w:line="44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1.本协议为双方签定的汾湖高新区两河两湖水面保洁主合同的附件。本协议安全管理范围期限随主合同合同履行期限。</w:t>
      </w:r>
      <w:r/>
    </w:p>
    <w:p>
      <w:pPr>
        <w:ind w:firstLine="556"/>
        <w:keepLines w:val="0"/>
        <w:keepNext w:val="0"/>
        <w:pageBreakBefore w:val="0"/>
        <w:spacing w:line="44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2.甲方有责任向乙方介绍本单位有关廉政建设的各项制度和规定。</w:t>
      </w:r>
      <w:r/>
    </w:p>
    <w:p>
      <w:pPr>
        <w:ind w:firstLine="556"/>
        <w:keepLines w:val="0"/>
        <w:keepNext w:val="0"/>
        <w:pageBreakBefore w:val="0"/>
        <w:spacing w:line="44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3.甲方有责任对本单位有关人员进行廉政教育，督促其严格遵守本单位制定的保持廉政若干规定，如发现有违反规定的给予当事人批评教育外，应视情节轻重、后果大小给予相应的经济处罚或纪律处分。</w:t>
      </w:r>
      <w:r/>
    </w:p>
    <w:p>
      <w:pPr>
        <w:ind w:firstLine="556"/>
        <w:keepLines w:val="0"/>
        <w:keepNext w:val="0"/>
        <w:pageBreakBefore w:val="0"/>
        <w:spacing w:line="44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4.甲方有权对乙方在服务中保持廉洁的情况实行监督，定期或不定期检查双方履行本协议情况。</w:t>
      </w:r>
      <w:r/>
    </w:p>
    <w:p>
      <w:pPr>
        <w:ind w:firstLine="556"/>
        <w:keepLines w:val="0"/>
        <w:keepNext w:val="0"/>
        <w:pageBreakBefore w:val="0"/>
        <w:spacing w:line="44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5.甲方人员参加乙方组织的各种活动，需经主管领导同意。甲方人员不得擅自接受乙方赠送的礼品、礼金及有价证券，难以拒收的，必须按有关规定登记上缴。</w:t>
      </w:r>
      <w:r/>
    </w:p>
    <w:p>
      <w:pPr>
        <w:ind w:firstLine="556"/>
        <w:keepLines w:val="0"/>
        <w:keepNext w:val="0"/>
        <w:pageBreakBefore w:val="0"/>
        <w:spacing w:line="44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6.甲方人员在本项目中发现乙方有不廉洁的行为，应及时采取措施制止其不廉洁行为的继续发生，并报告主管领导。</w:t>
      </w:r>
      <w:r/>
    </w:p>
    <w:p>
      <w:pPr>
        <w:ind w:firstLine="556"/>
        <w:keepLines w:val="0"/>
        <w:keepNext w:val="0"/>
        <w:pageBreakBefore w:val="0"/>
        <w:spacing w:line="44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7.乙方有权了解甲方有关廉政建设的各项制度和规定，支持甲方执行有关规定和制度。</w:t>
      </w:r>
      <w:r/>
    </w:p>
    <w:p>
      <w:pPr>
        <w:ind w:firstLine="556"/>
        <w:keepLines w:val="0"/>
        <w:keepNext w:val="0"/>
        <w:pageBreakBefore w:val="0"/>
        <w:spacing w:line="44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8.乙方有责任对本项目相关人员进行廉洁教育（包括甲方单位制订的有关廉政建设方面的规定），按时出席甲方召集的有关会议。</w:t>
      </w:r>
      <w:r/>
    </w:p>
    <w:p>
      <w:pPr>
        <w:ind w:firstLine="556"/>
        <w:keepLines w:val="0"/>
        <w:keepNext w:val="0"/>
        <w:pageBreakBefore w:val="0"/>
        <w:spacing w:line="44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乙方不得以任何名义宴请甲方人员，或向甲方人员赠送礼品、礼金及各种有价证券。如乙方违反上述规定，甲方有权通报批评；如果情节恶劣，后果严重，甲方有权追究责任，给予处罚，直至终止维修养护合同。</w:t>
      </w:r>
      <w:r/>
    </w:p>
    <w:p>
      <w:pPr>
        <w:ind w:firstLine="556"/>
        <w:keepLines w:val="0"/>
        <w:keepNext w:val="0"/>
        <w:pageBreakBefore w:val="0"/>
        <w:spacing w:line="44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乙方若在本项目中贿赂甲方人员，甲方除有权取消或终止维修养护合同外，还应向检查机关如实举报，并提请司法机关和行政监察机关。对有行贿行为的单位，按照《关于对建筑市场中具有行贿行为的单位处理的暂行办法》规定，予以警告、通报批评，由此给甲方造成的损失均由乙方承担，并向甲方承担经济赔偿责任。若发生乙方贿赂甲方人员，并使其构成犯罪受到司法机关处理的，甲方有权对承包商处以万元以下的罚款，在合同款中扣除。</w:t>
      </w:r>
      <w:r/>
    </w:p>
    <w:p>
      <w:pPr>
        <w:ind w:firstLine="556"/>
        <w:keepLines w:val="0"/>
        <w:keepNext w:val="0"/>
        <w:pageBreakBefore w:val="0"/>
        <w:spacing w:line="44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11.乙方在本项目服务过程中若发现甲方人员有不廉洁的行为，应及时采取措施，制止其不廉洁行为的继续发生，并及时告知甲方单位主管领导；情节严重的可向有关部门投诉或举报。</w:t>
      </w:r>
      <w:r/>
    </w:p>
    <w:p>
      <w:pPr>
        <w:ind w:firstLine="553"/>
        <w:rPr>
          <w:rFonts w:hint="eastAsia" w:ascii="宋体" w:hAnsi="宋体" w:cs="宋体"/>
          <w:color w:val="auto"/>
          <w:szCs w:val="21"/>
          <w:highlight w:val="none"/>
        </w:rPr>
      </w:pPr>
      <w:r>
        <w:rPr>
          <w:rFonts w:hint="eastAsia" w:ascii="宋体" w:hAnsi="宋体" w:cs="宋体"/>
          <w:color w:val="auto"/>
          <w:szCs w:val="21"/>
          <w:highlight w:val="none"/>
        </w:rPr>
      </w:r>
      <w:r/>
    </w:p>
    <w:tbl>
      <w:tblPr>
        <w:tblStyle w:val="1092"/>
        <w:tblW w:w="0" w:type="auto"/>
        <w:jc w:val="center"/>
        <w:tblLayout w:type="fixed"/>
        <w:tblCellMar>
          <w:left w:w="108" w:type="dxa"/>
          <w:top w:w="0" w:type="dxa"/>
          <w:right w:w="108" w:type="dxa"/>
          <w:bottom w:w="0" w:type="dxa"/>
        </w:tblCellMar>
        <w:tblLook w:val="04A0" w:firstRow="1" w:lastRow="0" w:firstColumn="1" w:lastColumn="0" w:noHBand="0" w:noVBand="1"/>
      </w:tblPr>
      <w:tblGrid>
        <w:gridCol w:w="4386"/>
        <w:gridCol w:w="4060"/>
      </w:tblGrid>
      <w:tr>
        <w:trPr>
          <w:jc w:val="center"/>
          <w:trHeight w:val="930"/>
        </w:trPr>
        <w:tc>
          <w:tcPr>
            <w:tcW w:w="4386"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甲方（盖章）：</w:t>
            </w:r>
            <w:r/>
          </w:p>
        </w:tc>
        <w:tc>
          <w:tcPr>
            <w:tcW w:w="4060"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乙方（盖章）：</w:t>
            </w:r>
            <w:r/>
          </w:p>
        </w:tc>
      </w:tr>
      <w:tr>
        <w:trPr>
          <w:jc w:val="center"/>
          <w:trHeight w:val="607"/>
        </w:trPr>
        <w:tc>
          <w:tcPr>
            <w:tcW w:w="4386"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法定（授权）代表人（签字）：</w:t>
            </w:r>
            <w:r/>
          </w:p>
        </w:tc>
        <w:tc>
          <w:tcPr>
            <w:tcW w:w="4060"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法定（授权）代表人（签字）：</w:t>
            </w:r>
            <w:r/>
          </w:p>
        </w:tc>
      </w:tr>
      <w:tr>
        <w:trPr>
          <w:jc w:val="center"/>
        </w:trPr>
        <w:tc>
          <w:tcPr>
            <w:tcW w:w="4386"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tc>
        <w:tc>
          <w:tcPr>
            <w:tcW w:w="4060" w:type="dxa"/>
            <w:vAlign w:val="center"/>
            <w:textDirection w:val="lrTb"/>
            <w:noWrap w:val="false"/>
          </w:tcPr>
          <w:p>
            <w:pPr>
              <w:spacing w:line="440" w:lineRule="exact"/>
              <w:tabs>
                <w:tab w:val="left" w:pos="540" w:leader="none"/>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tc>
      </w:tr>
    </w:tbl>
    <w:p>
      <w:pPr>
        <w:ind w:firstLine="422"/>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附件4：</w:t>
      </w:r>
      <w:r>
        <w:rPr>
          <w:rFonts w:hint="eastAsia" w:ascii="宋体" w:hAnsi="宋体" w:cs="宋体"/>
          <w:color w:val="auto"/>
          <w:szCs w:val="21"/>
          <w:highlight w:val="none"/>
          <w:lang w:val="en-US" w:eastAsia="zh-CN"/>
        </w:rPr>
        <w:t xml:space="preserve">考核细则</w:t>
      </w:r>
      <w:r/>
    </w:p>
    <w:p>
      <w:pPr>
        <w:ind w:firstLine="420"/>
        <w:jc w:val="left"/>
        <w:keepLines w:val="0"/>
        <w:keepNext w:val="0"/>
        <w:pageBreakBefore w:val="0"/>
        <w:spacing w:line="440" w:lineRule="exact"/>
        <w:shd w:val="clear" w:color="ffffff" w:themeColor="background1" w:fill="ffffff" w:themeFill="background1"/>
        <w:widowControl/>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（一）考核分值计算说明</w:t>
      </w:r>
      <w:r/>
    </w:p>
    <w:p>
      <w:pPr>
        <w:ind w:firstLine="420"/>
        <w:jc w:val="left"/>
        <w:keepLines w:val="0"/>
        <w:keepNext w:val="0"/>
        <w:pageBreakBefore w:val="0"/>
        <w:spacing w:line="440" w:lineRule="exac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rPr>
        <w:t xml:space="preserve">考核挂钩基数经费（</w:t>
      </w:r>
      <w:r>
        <w:rPr>
          <w:rFonts w:hint="eastAsia" w:ascii="宋体" w:hAnsi="宋体" w:cs="宋体"/>
          <w:b w:val="0"/>
          <w:bCs/>
          <w:color w:val="auto"/>
          <w:szCs w:val="21"/>
          <w:highlight w:val="none"/>
          <w:lang w:val="en-US" w:eastAsia="zh-CN"/>
        </w:rPr>
        <w:t xml:space="preserve">合同总金额的</w:t>
      </w:r>
      <w:r>
        <w:rPr>
          <w:rFonts w:hint="eastAsia" w:ascii="宋体" w:hAnsi="宋体" w:cs="宋体"/>
          <w:b w:val="0"/>
          <w:bCs/>
          <w:color w:val="auto"/>
          <w:szCs w:val="21"/>
          <w:highlight w:val="none"/>
        </w:rPr>
        <w:t xml:space="preserve">35%）：作为年度考核结算经费，待当年度所有月度考核完成后，按“考核基数经费=考核基数总额-全年累计扣减金额”的规则核算后，完成拨付。</w:t>
      </w:r>
      <w:r/>
    </w:p>
    <w:p>
      <w:pPr>
        <w:ind w:firstLine="420"/>
        <w:jc w:val="left"/>
        <w:keepLines w:val="0"/>
        <w:keepNext w:val="0"/>
        <w:pageBreakBefore w:val="0"/>
        <w:spacing w:line="440" w:lineRule="exac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 全年累计扣减金额核算规则：</w:t>
      </w:r>
      <w:r/>
    </w:p>
    <w:p>
      <w:pPr>
        <w:ind w:firstLine="420"/>
        <w:jc w:val="left"/>
        <w:keepLines w:val="0"/>
        <w:keepNext w:val="0"/>
        <w:pageBreakBefore w:val="0"/>
        <w:spacing w:line="440" w:lineRule="exac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（1）单月扣减金额计算标准：单月扣减金额=（考核基数总额÷12）×当月扣减比例；</w:t>
      </w:r>
      <w:r/>
    </w:p>
    <w:p>
      <w:pPr>
        <w:ind w:firstLine="420"/>
        <w:jc w:val="left"/>
        <w:keepLines w:val="0"/>
        <w:keepNext w:val="0"/>
        <w:pageBreakBefore w:val="0"/>
        <w:spacing w:line="440" w:lineRule="exac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（2）单月扣减比例对应规则：</w:t>
      </w:r>
      <w:r/>
    </w:p>
    <w:p>
      <w:pPr>
        <w:ind w:firstLine="420"/>
        <w:jc w:val="left"/>
        <w:keepLines w:val="0"/>
        <w:keepNext w:val="0"/>
        <w:pageBreakBefore w:val="0"/>
        <w:spacing w:line="440" w:lineRule="exac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单月考核得分 90 分（含）以上：该月扣减比例 0%；</w:t>
      </w:r>
      <w:r/>
    </w:p>
    <w:p>
      <w:pPr>
        <w:ind w:firstLine="420"/>
        <w:jc w:val="left"/>
        <w:keepLines w:val="0"/>
        <w:keepNext w:val="0"/>
        <w:pageBreakBefore w:val="0"/>
        <w:spacing w:line="440" w:lineRule="exac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单月考核得分 80 分（含）至 89 分：该月扣减比例 10%；</w:t>
      </w:r>
      <w:r/>
    </w:p>
    <w:p>
      <w:pPr>
        <w:ind w:firstLine="420"/>
        <w:jc w:val="left"/>
        <w:keepLines w:val="0"/>
        <w:keepNext w:val="0"/>
        <w:pageBreakBefore w:val="0"/>
        <w:spacing w:line="440" w:lineRule="exac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单月考核得分 70 分（含）至 79 分：该月扣减比例 20%；</w:t>
      </w:r>
      <w:r/>
    </w:p>
    <w:p>
      <w:pPr>
        <w:ind w:firstLine="420"/>
        <w:jc w:val="left"/>
        <w:keepLines w:val="0"/>
        <w:keepNext w:val="0"/>
        <w:pageBreakBefore w:val="0"/>
        <w:spacing w:line="440" w:lineRule="exac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单月考核得分 60 分（含）至 69 分：该月扣减比例 30%；</w:t>
      </w:r>
      <w:r/>
    </w:p>
    <w:p>
      <w:pPr>
        <w:ind w:firstLine="420"/>
        <w:jc w:val="left"/>
        <w:keepLines w:val="0"/>
        <w:keepNext w:val="0"/>
        <w:pageBreakBefore w:val="0"/>
        <w:spacing w:line="440" w:lineRule="exac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单月考核得分低于 60 分：该月扣减比例 100%；</w:t>
      </w:r>
      <w:r/>
    </w:p>
    <w:p>
      <w:pPr>
        <w:ind w:firstLine="420"/>
        <w:jc w:val="left"/>
        <w:keepLines w:val="0"/>
        <w:keepNext w:val="0"/>
        <w:pageBreakBefore w:val="0"/>
        <w:spacing w:line="440" w:lineRule="exac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（3）全年累计扣减金额=各月扣减金额之和（注：全年累计扣减金额最高不超过考核基数总额）。</w:t>
      </w:r>
      <w:r/>
    </w:p>
    <w:p>
      <w:pPr>
        <w:ind w:firstLine="420"/>
        <w:jc w:val="left"/>
        <w:keepLines w:val="0"/>
        <w:keepNext w:val="0"/>
        <w:pageBreakBefore w:val="0"/>
        <w:spacing w:line="440" w:lineRule="exac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二</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合同解除情形</w:t>
      </w:r>
      <w:r/>
    </w:p>
    <w:p>
      <w:pPr>
        <w:ind w:firstLine="420"/>
        <w:jc w:val="left"/>
        <w:keepLines w:val="0"/>
        <w:keepNext w:val="0"/>
        <w:pageBreakBefore w:val="0"/>
        <w:spacing w:line="440" w:lineRule="exac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中标单位连续三次月度考核得分低于60分的，采购单位有权无条件解除本项目合同，由此产生的一切损失由中标单位自行承担，采购单位不承担任何赔偿责任。</w:t>
      </w:r>
      <w:r/>
    </w:p>
    <w:p>
      <w:pPr>
        <w:ind w:firstLine="420"/>
        <w:jc w:val="left"/>
        <w:keepLines w:val="0"/>
        <w:keepNext w:val="0"/>
        <w:pageBreakBefore w:val="0"/>
        <w:spacing w:line="440" w:lineRule="exact"/>
        <w:shd w:val="clear" w:color="ffffff" w:themeColor="background1" w:fill="ffffff" w:themeFill="background1"/>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三</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淘汰机制</w:t>
      </w:r>
      <w:r/>
    </w:p>
    <w:p>
      <w:pPr>
        <w:ind w:firstLine="420"/>
        <w:jc w:val="left"/>
        <w:keepLines w:val="0"/>
        <w:keepNext w:val="0"/>
        <w:pageBreakBefore w:val="0"/>
        <w:spacing w:line="440" w:lineRule="exact"/>
        <w:shd w:val="clear" w:color="ffffff" w:themeColor="background1" w:fill="ffffff" w:themeFill="background1"/>
        <w:widowControl/>
        <w:rPr>
          <w:rFonts w:hint="default" w:eastAsia="宋体"/>
          <w:color w:val="auto"/>
          <w:highlight w:val="none"/>
          <w:lang w:val="en-US" w:eastAsia="zh-CN"/>
        </w:rPr>
      </w:pPr>
      <w:r>
        <w:rPr>
          <w:rFonts w:hint="eastAsia" w:ascii="宋体" w:hAnsi="宋体" w:cs="宋体"/>
          <w:b w:val="0"/>
          <w:bCs/>
          <w:color w:val="auto"/>
          <w:szCs w:val="21"/>
          <w:highlight w:val="none"/>
        </w:rPr>
        <w:t xml:space="preserve">年度内累计四次月度考核得分低于60分的，视为年度考核不合格；年度考核不合格或因本条款第二款情形被解除合同的养护单位，实行行业淘汰制，自结果确定之日起，不得参与本项目及黎里镇、金泽镇辖区内同类河湖保洁养护项目的招投标工作。</w:t>
      </w:r>
      <w:r/>
    </w:p>
    <w:p>
      <w:pPr>
        <w:pStyle w:val="1093"/>
        <w:rPr>
          <w:rFonts w:hint="default"/>
          <w:color w:val="auto"/>
          <w:highlight w:val="none"/>
          <w:lang w:val="en-US" w:eastAsia="zh-CN"/>
        </w:rPr>
      </w:pPr>
      <w:r>
        <w:rPr>
          <w:rFonts w:hint="default"/>
          <w:color w:val="auto"/>
          <w:highlight w:val="none"/>
          <w:lang w:val="en-US" w:eastAsia="zh-CN"/>
        </w:rPr>
      </w:r>
      <w:r/>
    </w:p>
    <w:p>
      <w:pPr>
        <w:pStyle w:val="1094"/>
        <w:jc w:val="lef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094"/>
        <w:jc w:val="lef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rPr>
          <w:rFonts w:hint="eastAsia" w:ascii="宋体" w:hAnsi="宋体" w:cs="宋体"/>
          <w:color w:val="auto"/>
          <w:szCs w:val="21"/>
          <w:highlight w:val="none"/>
        </w:rPr>
      </w:pPr>
      <w:r>
        <w:rPr>
          <w:rFonts w:hint="eastAsia" w:ascii="宋体" w:hAnsi="宋体" w:cs="宋体"/>
          <w:color w:val="auto"/>
          <w:szCs w:val="21"/>
          <w:highlight w:val="none"/>
        </w:rPr>
        <w:t xml:space="preserve">附件5：</w:t>
      </w:r>
      <w:bookmarkStart w:id="73" w:name="OLE_LINK10"/>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年两河两湖</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月水面保洁检查考核表</w:t>
      </w:r>
      <w:r/>
    </w:p>
    <w:tbl>
      <w:tblPr>
        <w:tblStyle w:val="110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1003"/>
        <w:gridCol w:w="5279"/>
        <w:gridCol w:w="1800"/>
        <w:gridCol w:w="645"/>
      </w:tblGrid>
      <w:tr>
        <w:trPr>
          <w:trHeight w:val="367"/>
        </w:trPr>
        <w:tc>
          <w:tcPr>
            <w:tcW w:w="56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00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检查内容</w:t>
            </w:r>
            <w:r/>
          </w:p>
        </w:tc>
        <w:tc>
          <w:tcPr>
            <w:tcW w:w="527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考核标准</w:t>
            </w:r>
            <w:r/>
          </w:p>
        </w:tc>
        <w:tc>
          <w:tcPr>
            <w:tcW w:w="180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考核扣分及原因</w:t>
            </w:r>
            <w:r/>
          </w:p>
        </w:tc>
        <w:tc>
          <w:tcPr>
            <w:tcW w:w="6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得分</w:t>
            </w:r>
            <w:r/>
          </w:p>
        </w:tc>
      </w:tr>
      <w:tr>
        <w:trPr>
          <w:trHeight w:val="834"/>
        </w:trPr>
        <w:tc>
          <w:tcPr>
            <w:tcW w:w="56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00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水面保洁、驳岸维护及绿化养护（60）</w:t>
            </w:r>
            <w:r/>
          </w:p>
        </w:tc>
        <w:tc>
          <w:tcPr>
            <w:tcW w:w="5279" w:type="dxa"/>
            <w:vAlign w:val="center"/>
            <w:textDirection w:val="lrTb"/>
            <w:noWrap w:val="false"/>
          </w:tcPr>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1、水面保洁作业人员符合规定要求，否则扣2分。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2、打捞船只作业时不得停靠在主航道作业，否则扣2分。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3、做好当天作业情况登记，否则扣1分。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4、检查时水面或岸坡有蓝藻、水生植物【水草、水葫芦、福寿螺等】、漂浮垃圾等每处扣5分。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5、突发环境卫生事件（水面有大量飘浮垃圾、蓝藻及水生植物【水草、水葫芦、福寿螺等】）通知作业单位半小时内须有作业船只、人员到位清捞处理，否则每次扣10分。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6、驳岸维护不到位一处扣1分。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7、绿化养护不到位（发现枯枝、未及时修整等情况）一处扣1分。</w:t>
            </w:r>
            <w:r/>
          </w:p>
        </w:tc>
        <w:tc>
          <w:tcPr>
            <w:tcW w:w="18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64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834"/>
        </w:trPr>
        <w:tc>
          <w:tcPr>
            <w:tcW w:w="56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00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漂浮垃圾  收集清运（30）</w:t>
            </w:r>
            <w:r/>
          </w:p>
        </w:tc>
        <w:tc>
          <w:tcPr>
            <w:tcW w:w="5279" w:type="dxa"/>
            <w:vAlign w:val="center"/>
            <w:textDirection w:val="lrTb"/>
            <w:noWrap w:val="false"/>
          </w:tcPr>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1、作业中将水面上漂浮物（包括蓝藻、水生植物【水草、水葫芦、福寿螺等】、垃圾、其他垃圾打捞等）乱扔岸边或岸上，每次扣5分。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2、作业时不穿着反光保护服装，每人扣1分。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3、船容船貌不整洁，有吊挂垃圾，每船次扣1分。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4、垃圾运输车辆超载、不严密盖网、扬撒垃圾、滴漏污物，每车次扣2分。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5、未由第三方运输处置，而到处乱倒、乱卸、乱抛垃圾等，每次扣5分。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6、服务态度、质量差，被投诉经查属实，每次扣1分。</w:t>
            </w:r>
            <w:r/>
          </w:p>
        </w:tc>
        <w:tc>
          <w:tcPr>
            <w:tcW w:w="18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64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275"/>
        </w:trPr>
        <w:tc>
          <w:tcPr>
            <w:tcW w:w="56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00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安全生产  管理    （10）</w:t>
            </w:r>
            <w:r/>
          </w:p>
        </w:tc>
        <w:tc>
          <w:tcPr>
            <w:tcW w:w="5279" w:type="dxa"/>
            <w:vAlign w:val="center"/>
            <w:textDirection w:val="lrTb"/>
            <w:noWrap w:val="false"/>
          </w:tcPr>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1、成交单位应建立、健全各项安全管理制度和保洁作业机械安全操作规程，作业过程安全管理应符合国家现行的有关规定，否则扣3分。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2、不遵守安全操作规程和操作技术规范，每次扣2分。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3、机械设备过期不审验仍继续使用的每台次扣2分，不及时维修保养或不合理使用打捞船，每台次扣2分。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4、蓝藻、水生植物【水草、水葫芦、福寿螺等】处理场应防火、防风等措施，否则扣5分。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5、保洁作业船内应配备必要的防护救生用品，并存放在显眼位置，否则每船次扣2分。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6、保洁作业人员必须穿救生衣作业，否则每人次扣2分。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7、因人为因素造成事故的，视事故大小扣5-10分。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64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47"/>
        </w:trPr>
        <w:tc>
          <w:tcPr>
            <w:gridSpan w:val="4"/>
            <w:tcW w:w="864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合计得分（100分）</w:t>
            </w:r>
            <w:r/>
          </w:p>
        </w:tc>
        <w:tc>
          <w:tcPr>
            <w:tcW w:w="64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rPr>
          <w:color w:val="auto"/>
          <w:highlight w:val="none"/>
        </w:rPr>
      </w:pPr>
      <w:r>
        <w:rPr>
          <w:rFonts w:hint="eastAsia"/>
          <w:color w:val="auto"/>
          <w:highlight w:val="none"/>
        </w:rPr>
        <w:t xml:space="preserve">保洁服务区域：吴天贞荡、雪落漾（诸曹漾）、道田江、华士江。</w:t>
      </w:r>
      <w:r/>
    </w:p>
    <w:p>
      <w:pPr>
        <w:jc w:val="left"/>
        <w:rPr>
          <w:color w:val="auto"/>
          <w:highlight w:val="none"/>
        </w:rPr>
      </w:pPr>
      <w:r>
        <w:rPr>
          <w:rFonts w:hint="eastAsia"/>
          <w:color w:val="auto"/>
          <w:highlight w:val="none"/>
        </w:rPr>
        <w:t xml:space="preserve">保洁单位(签字、盖章）：                          考核单位(签字、盖章)：</w:t>
      </w:r>
      <w:bookmarkEnd w:id="73"/>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p>
    <w:p>
      <w:pPr>
        <w:pStyle w:val="1094"/>
        <w:jc w:val="lef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附件6</w:t>
      </w:r>
      <w:bookmarkStart w:id="74" w:name="_Toc16404"/>
      <w:r/>
      <w:r/>
    </w:p>
    <w:p>
      <w:pPr>
        <w:jc w:val="center"/>
        <w:spacing w:line="48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履约验收方案</w:t>
      </w:r>
      <w:r/>
    </w:p>
    <w:p>
      <w:pPr>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一、验收单位</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汾湖高新区两河两湖水面保洁 (具体人员另行安排)</w:t>
      </w:r>
      <w:r/>
    </w:p>
    <w:p>
      <w:pPr>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二、验收时间</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具体验收时间另行通知</w:t>
      </w:r>
      <w:r/>
    </w:p>
    <w:p>
      <w:pPr>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三、验收依据</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验收依据为供应商提供的汾湖高新区两河两湖水面保洁（项目过程中依据项目需求的服务能力，生成的阶段性交付成果。磋商响应文件提交的各技术服务方案以及采购文件的采购需求也是阶段验收的依据之一)。</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具体依据如下:</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1)本项目采购文件、磋商响应文件，尤其是项目需求部分；</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2)确认收到的验收提交文档资料情况。</w:t>
      </w:r>
      <w:r/>
    </w:p>
    <w:p>
      <w:pP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四、验收内容和标准</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4.1验收相关标准</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根据项目具体的采购需求制定。验收内容一般包括资料评审、质量鉴定两部分。</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4.2需要验收的内容</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验收内容工作主要包括:按项目采购需求的服务能力，生成的各项阶段性交付文档。文档验收标准一般包括但不限于:文档完备性、内容针对性、内容充分性、内容一致性、文字明确性、图表详实性、易读性等。</w:t>
      </w:r>
      <w:r/>
    </w:p>
    <w:p>
      <w:pPr>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五、验收结论</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由验收小组根据验收情况和相关资料得出结论，并进行确认签字。验收结果分为:验收合格和验收不合格两种情况。</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1.验收合格情况</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符合项目服务标准、任务按期保质完成，考核指标达标，视为验收合格。</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2.验收不合格情况</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1)未按项目考核指标或合同要求达到所预定的考核指标的。</w:t>
      </w:r>
      <w:r/>
    </w:p>
    <w:p>
      <w:pPr>
        <w:pStyle w:val="1093"/>
        <w:ind w:firstLine="420"/>
        <w:jc w:val="left"/>
        <w:spacing w:line="360" w:lineRule="auto"/>
        <w:rPr>
          <w:b/>
          <w:bCs/>
          <w:color w:val="auto"/>
          <w:highlight w:val="none"/>
        </w:rPr>
      </w:pPr>
      <w:r>
        <w:rPr>
          <w:rFonts w:hint="eastAsia" w:hAnsi="宋体" w:cs="宋体"/>
          <w:color w:val="auto"/>
          <w:szCs w:val="21"/>
          <w:highlight w:val="none"/>
        </w:rPr>
        <w:t xml:space="preserve">2)所提供材料不齐全或不真实的。</w:t>
      </w:r>
      <w:r/>
    </w:p>
    <w:p>
      <w:pPr>
        <w:spacing w:line="480" w:lineRule="auto"/>
        <w:tabs>
          <w:tab w:val="left" w:pos="540" w:leader="none"/>
          <w:tab w:val="left" w:pos="567"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六、验收结果不符合采购要求的，采购方有权终止合同，一切损失费用由成交方承担。</w:t>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103"/>
        <w:rPr>
          <w:color w:val="auto"/>
          <w:highlight w:val="none"/>
        </w:rPr>
      </w:pPr>
      <w:r>
        <w:rPr>
          <w:color w:val="auto"/>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1094"/>
        <w:jc w:val="lef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附件7：政府采购履约验收通知单</w:t>
      </w:r>
      <w:r/>
    </w:p>
    <w:p>
      <w:pPr>
        <w:jc w:val="center"/>
        <w:spacing w:before="263" w:line="223" w:lineRule="auto"/>
        <w:rPr>
          <w:rFonts w:hint="eastAsia" w:ascii="宋体" w:hAnsi="宋体" w:cs="宋体"/>
          <w:color w:val="auto"/>
          <w:sz w:val="36"/>
          <w:szCs w:val="36"/>
          <w:highlight w:val="none"/>
        </w:rPr>
        <w:outlineLvl w:val="0"/>
      </w:pPr>
      <w:r>
        <w:rPr>
          <w:rFonts w:hint="eastAsia" w:ascii="宋体" w:hAnsi="宋体" w:cs="宋体"/>
          <w:color w:val="auto"/>
          <w:spacing w:val="17"/>
          <w:sz w:val="36"/>
          <w:szCs w:val="36"/>
          <w:highlight w:val="none"/>
        </w:rPr>
        <w:t xml:space="preserve">政府采购履约验收通知单</w:t>
      </w:r>
      <w:r/>
    </w:p>
    <w:p>
      <w:pPr>
        <w:ind w:left="85"/>
        <w:spacing w:before="216" w:line="214" w:lineRule="auto"/>
        <w:rPr>
          <w:rFonts w:hint="eastAsia" w:ascii="宋体" w:hAnsi="宋体" w:cs="宋体"/>
          <w:color w:val="auto"/>
          <w:sz w:val="23"/>
          <w:szCs w:val="23"/>
          <w:highlight w:val="none"/>
        </w:rPr>
      </w:pPr>
      <w:r>
        <w:rPr>
          <w:rFonts w:hint="eastAsia" w:ascii="宋体" w:hAnsi="宋体" w:cs="宋体"/>
          <w:color w:val="auto"/>
          <w:spacing w:val="9"/>
          <w:sz w:val="23"/>
          <w:szCs w:val="23"/>
          <w:highlight w:val="none"/>
        </w:rPr>
        <w:t xml:space="preserve">供应商：</w:t>
      </w:r>
      <w:r/>
    </w:p>
    <w:p>
      <w:pPr>
        <w:spacing w:line="44" w:lineRule="exact"/>
        <w:rPr>
          <w:rFonts w:hint="eastAsia" w:ascii="宋体" w:hAnsi="宋体" w:cs="宋体"/>
          <w:color w:val="auto"/>
          <w:highlight w:val="none"/>
        </w:rPr>
      </w:pPr>
      <w:r>
        <w:rPr>
          <w:rFonts w:hint="eastAsia" w:ascii="宋体" w:hAnsi="宋体" w:cs="宋体"/>
          <w:color w:val="auto"/>
          <w:highlight w:val="none"/>
        </w:rPr>
      </w:r>
      <w:r/>
    </w:p>
    <w:tbl>
      <w:tblPr>
        <w:tblStyle w:val="1115"/>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hint="eastAsia" w:ascii="宋体" w:hAnsi="宋体" w:cs="宋体"/>
                <w:color w:val="auto"/>
                <w:sz w:val="23"/>
                <w:szCs w:val="23"/>
                <w:highlight w:val="none"/>
              </w:rPr>
            </w:pPr>
            <w:r>
              <w:rPr>
                <w:rFonts w:hint="eastAsia" w:ascii="宋体" w:hAnsi="宋体" w:cs="宋体"/>
                <w:color w:val="auto"/>
                <w:spacing w:val="2"/>
                <w:sz w:val="23"/>
                <w:szCs w:val="23"/>
                <w:highlight w:val="none"/>
              </w:rPr>
              <w:t xml:space="preserve">采购人</w:t>
            </w:r>
            <w:r/>
          </w:p>
        </w:tc>
        <w:tc>
          <w:tcPr>
            <w:gridSpan w:val="3"/>
            <w:tcW w:w="6708"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0"/>
        </w:trPr>
        <w:tc>
          <w:tcPr>
            <w:tcW w:w="2610" w:type="dxa"/>
            <w:textDirection w:val="lrTb"/>
            <w:noWrap w:val="false"/>
          </w:tcPr>
          <w:p>
            <w:pPr>
              <w:ind w:left="841"/>
              <w:spacing w:before="249" w:line="211" w:lineRule="auto"/>
              <w:rPr>
                <w:rFonts w:hint="eastAsia" w:ascii="宋体" w:hAnsi="宋体" w:cs="宋体"/>
                <w:color w:val="auto"/>
                <w:sz w:val="23"/>
                <w:szCs w:val="23"/>
                <w:highlight w:val="none"/>
              </w:rPr>
            </w:pPr>
            <w:r>
              <w:rPr>
                <w:rFonts w:hint="eastAsia" w:ascii="宋体" w:hAnsi="宋体" w:cs="宋体"/>
                <w:color w:val="auto"/>
                <w:spacing w:val="2"/>
                <w:sz w:val="23"/>
                <w:szCs w:val="23"/>
                <w:highlight w:val="none"/>
              </w:rPr>
              <w:t xml:space="preserve">项目名称</w:t>
            </w:r>
            <w:r/>
          </w:p>
        </w:tc>
        <w:tc>
          <w:tcPr>
            <w:gridSpan w:val="3"/>
            <w:tcW w:w="6708"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59"/>
        </w:trPr>
        <w:tc>
          <w:tcPr>
            <w:tcW w:w="2610" w:type="dxa"/>
            <w:textDirection w:val="lrTb"/>
            <w:noWrap w:val="false"/>
          </w:tcPr>
          <w:p>
            <w:pPr>
              <w:ind w:left="841"/>
              <w:spacing w:before="247" w:line="213" w:lineRule="auto"/>
              <w:rPr>
                <w:rFonts w:hint="eastAsia" w:ascii="宋体" w:hAnsi="宋体" w:cs="宋体"/>
                <w:color w:val="auto"/>
                <w:sz w:val="23"/>
                <w:szCs w:val="23"/>
                <w:highlight w:val="none"/>
              </w:rPr>
            </w:pPr>
            <w:r>
              <w:rPr>
                <w:rFonts w:hint="eastAsia" w:ascii="宋体" w:hAnsi="宋体" w:cs="宋体"/>
                <w:color w:val="auto"/>
                <w:spacing w:val="2"/>
                <w:sz w:val="23"/>
                <w:szCs w:val="23"/>
                <w:highlight w:val="none"/>
              </w:rPr>
              <w:t xml:space="preserve">合同名称</w:t>
            </w:r>
            <w:r/>
          </w:p>
        </w:tc>
        <w:tc>
          <w:tcPr>
            <w:gridSpan w:val="3"/>
            <w:tcW w:w="6708"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0"/>
        </w:trPr>
        <w:tc>
          <w:tcPr>
            <w:tcW w:w="2610" w:type="dxa"/>
            <w:textDirection w:val="lrTb"/>
            <w:noWrap w:val="false"/>
          </w:tcPr>
          <w:p>
            <w:pPr>
              <w:ind w:left="841"/>
              <w:spacing w:before="247" w:line="212" w:lineRule="auto"/>
              <w:rPr>
                <w:rFonts w:hint="eastAsia" w:ascii="宋体" w:hAnsi="宋体" w:cs="宋体"/>
                <w:color w:val="auto"/>
                <w:sz w:val="23"/>
                <w:szCs w:val="23"/>
                <w:highlight w:val="none"/>
              </w:rPr>
            </w:pPr>
            <w:r>
              <w:rPr>
                <w:rFonts w:hint="eastAsia" w:ascii="宋体" w:hAnsi="宋体" w:cs="宋体"/>
                <w:color w:val="auto"/>
                <w:spacing w:val="2"/>
                <w:sz w:val="23"/>
                <w:szCs w:val="23"/>
                <w:highlight w:val="none"/>
              </w:rPr>
              <w:t xml:space="preserve">合同编号</w:t>
            </w:r>
            <w:r/>
          </w:p>
        </w:tc>
        <w:tc>
          <w:tcPr>
            <w:tcW w:w="1961"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39" w:type="dxa"/>
            <w:textDirection w:val="lrTb"/>
            <w:noWrap w:val="false"/>
          </w:tcPr>
          <w:p>
            <w:pPr>
              <w:ind w:left="607"/>
              <w:spacing w:before="247" w:line="213" w:lineRule="auto"/>
              <w:rPr>
                <w:rFonts w:hint="eastAsia" w:ascii="宋体" w:hAnsi="宋体" w:cs="宋体"/>
                <w:color w:val="auto"/>
                <w:sz w:val="23"/>
                <w:szCs w:val="23"/>
                <w:highlight w:val="none"/>
              </w:rPr>
            </w:pPr>
            <w:r>
              <w:rPr>
                <w:rFonts w:hint="eastAsia" w:ascii="宋体" w:hAnsi="宋体" w:cs="宋体"/>
                <w:color w:val="auto"/>
                <w:spacing w:val="2"/>
                <w:sz w:val="23"/>
                <w:szCs w:val="23"/>
                <w:highlight w:val="none"/>
              </w:rPr>
              <w:t xml:space="preserve">合同金额</w:t>
            </w:r>
            <w:r/>
          </w:p>
        </w:tc>
        <w:tc>
          <w:tcPr>
            <w:tcW w:w="2608"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59"/>
        </w:trPr>
        <w:tc>
          <w:tcPr>
            <w:tcW w:w="2610" w:type="dxa"/>
            <w:textDirection w:val="lrTb"/>
            <w:noWrap w:val="false"/>
          </w:tcPr>
          <w:p>
            <w:pPr>
              <w:ind w:left="841"/>
              <w:spacing w:before="248" w:line="212" w:lineRule="auto"/>
              <w:rPr>
                <w:rFonts w:hint="eastAsia" w:ascii="宋体" w:hAnsi="宋体" w:cs="宋体"/>
                <w:color w:val="auto"/>
                <w:sz w:val="23"/>
                <w:szCs w:val="23"/>
                <w:highlight w:val="none"/>
              </w:rPr>
            </w:pPr>
            <w:r>
              <w:rPr>
                <w:rFonts w:hint="eastAsia" w:ascii="宋体" w:hAnsi="宋体" w:cs="宋体"/>
                <w:color w:val="auto"/>
                <w:spacing w:val="4"/>
                <w:sz w:val="23"/>
                <w:szCs w:val="23"/>
                <w:highlight w:val="none"/>
              </w:rPr>
              <w:t xml:space="preserve">验收时间</w:t>
            </w:r>
            <w:r/>
          </w:p>
        </w:tc>
        <w:tc>
          <w:tcPr>
            <w:tcW w:w="1961"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39" w:type="dxa"/>
            <w:textDirection w:val="lrTb"/>
            <w:noWrap w:val="false"/>
          </w:tcPr>
          <w:p>
            <w:pPr>
              <w:ind w:left="607"/>
              <w:spacing w:before="248" w:line="213" w:lineRule="auto"/>
              <w:rPr>
                <w:rFonts w:hint="eastAsia" w:ascii="宋体" w:hAnsi="宋体" w:cs="宋体"/>
                <w:color w:val="auto"/>
                <w:sz w:val="23"/>
                <w:szCs w:val="23"/>
                <w:highlight w:val="none"/>
              </w:rPr>
            </w:pPr>
            <w:r>
              <w:rPr>
                <w:rFonts w:hint="eastAsia" w:ascii="宋体" w:hAnsi="宋体" w:cs="宋体"/>
                <w:color w:val="auto"/>
                <w:spacing w:val="4"/>
                <w:sz w:val="23"/>
                <w:szCs w:val="23"/>
                <w:highlight w:val="none"/>
              </w:rPr>
              <w:t xml:space="preserve">验收地点</w:t>
            </w:r>
            <w:r/>
          </w:p>
        </w:tc>
        <w:tc>
          <w:tcPr>
            <w:tcW w:w="2608"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0"/>
        </w:trPr>
        <w:tc>
          <w:tcPr>
            <w:tcW w:w="2610" w:type="dxa"/>
            <w:textDirection w:val="lrTb"/>
            <w:noWrap w:val="false"/>
          </w:tcPr>
          <w:p>
            <w:pPr>
              <w:ind w:left="960"/>
              <w:spacing w:before="248" w:line="213" w:lineRule="auto"/>
              <w:rPr>
                <w:rFonts w:hint="eastAsia" w:ascii="宋体" w:hAnsi="宋体" w:cs="宋体"/>
                <w:color w:val="auto"/>
                <w:sz w:val="23"/>
                <w:szCs w:val="23"/>
                <w:highlight w:val="none"/>
              </w:rPr>
            </w:pPr>
            <w:r>
              <w:rPr>
                <w:rFonts w:hint="eastAsia" w:ascii="宋体" w:hAnsi="宋体" w:cs="宋体"/>
                <w:color w:val="auto"/>
                <w:spacing w:val="1"/>
                <w:sz w:val="23"/>
                <w:szCs w:val="23"/>
                <w:highlight w:val="none"/>
              </w:rPr>
              <w:t xml:space="preserve">联系人</w:t>
            </w:r>
            <w:r/>
          </w:p>
        </w:tc>
        <w:tc>
          <w:tcPr>
            <w:tcW w:w="1961"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39" w:type="dxa"/>
            <w:textDirection w:val="lrTb"/>
            <w:noWrap w:val="false"/>
          </w:tcPr>
          <w:p>
            <w:pPr>
              <w:ind w:left="605"/>
              <w:spacing w:before="248" w:line="213" w:lineRule="auto"/>
              <w:rPr>
                <w:rFonts w:hint="eastAsia" w:ascii="宋体" w:hAnsi="宋体" w:cs="宋体"/>
                <w:color w:val="auto"/>
                <w:sz w:val="23"/>
                <w:szCs w:val="23"/>
                <w:highlight w:val="none"/>
              </w:rPr>
            </w:pPr>
            <w:r>
              <w:rPr>
                <w:rFonts w:hint="eastAsia" w:ascii="宋体" w:hAnsi="宋体" w:cs="宋体"/>
                <w:color w:val="auto"/>
                <w:spacing w:val="3"/>
                <w:sz w:val="23"/>
                <w:szCs w:val="23"/>
                <w:highlight w:val="none"/>
              </w:rPr>
              <w:t xml:space="preserve">联系电话</w:t>
            </w:r>
            <w:r/>
          </w:p>
        </w:tc>
        <w:tc>
          <w:tcPr>
            <w:tcW w:w="2608"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0"/>
        </w:trPr>
        <w:tc>
          <w:tcPr>
            <w:gridSpan w:val="4"/>
            <w:tcW w:w="9318" w:type="dxa"/>
            <w:textDirection w:val="lrTb"/>
            <w:noWrap w:val="false"/>
          </w:tcPr>
          <w:p>
            <w:pPr>
              <w:ind w:left="3353"/>
              <w:spacing w:before="250" w:line="212" w:lineRule="auto"/>
              <w:rPr>
                <w:rFonts w:hint="eastAsia" w:ascii="宋体" w:hAnsi="宋体" w:cs="宋体"/>
                <w:color w:val="auto"/>
                <w:sz w:val="23"/>
                <w:szCs w:val="23"/>
                <w:highlight w:val="none"/>
              </w:rPr>
            </w:pPr>
            <w:r>
              <w:rPr>
                <w:rFonts w:hint="eastAsia" w:ascii="宋体" w:hAnsi="宋体" w:cs="宋体"/>
                <w:color w:val="auto"/>
                <w:spacing w:val="7"/>
                <w:sz w:val="23"/>
                <w:szCs w:val="23"/>
                <w:highlight w:val="none"/>
              </w:rPr>
              <w:t xml:space="preserve">履约验收方案及工作要求</w:t>
            </w:r>
            <w:r/>
          </w:p>
        </w:tc>
      </w:tr>
      <w:tr>
        <w:trPr>
          <w:trHeight w:val="7569"/>
        </w:trPr>
        <w:tc>
          <w:tcPr>
            <w:gridSpan w:val="4"/>
            <w:tcW w:w="9318" w:type="dxa"/>
            <w:textDirection w:val="lrTb"/>
            <w:noWrap w:val="false"/>
          </w:tcPr>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2"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42"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5128" w:right="2893" w:firstLine="183"/>
              <w:spacing w:before="75" w:line="507" w:lineRule="auto"/>
              <w:rPr>
                <w:rFonts w:hint="eastAsia" w:ascii="宋体" w:hAnsi="宋体" w:cs="宋体"/>
                <w:color w:val="auto"/>
                <w:sz w:val="23"/>
                <w:szCs w:val="23"/>
                <w:highlight w:val="none"/>
              </w:rPr>
            </w:pPr>
            <w:r>
              <w:rPr>
                <w:rFonts w:hint="eastAsia" w:ascii="宋体" w:hAnsi="宋体" w:cs="宋体"/>
                <w:color w:val="auto"/>
                <w:spacing w:val="3"/>
                <w:sz w:val="23"/>
                <w:szCs w:val="23"/>
                <w:highlight w:val="none"/>
              </w:rPr>
              <w:t xml:space="preserve">单位公章</w:t>
            </w:r>
            <w:r>
              <w:rPr>
                <w:rFonts w:hint="eastAsia" w:ascii="宋体" w:hAnsi="宋体" w:cs="宋体"/>
                <w:color w:val="auto"/>
                <w:sz w:val="23"/>
                <w:szCs w:val="23"/>
                <w:highlight w:val="none"/>
              </w:rPr>
              <w:t xml:space="preserve">  </w:t>
            </w:r>
            <w:r>
              <w:rPr>
                <w:rFonts w:hint="eastAsia" w:ascii="宋体" w:hAnsi="宋体" w:cs="宋体"/>
                <w:color w:val="auto"/>
                <w:spacing w:val="-16"/>
                <w:sz w:val="23"/>
                <w:szCs w:val="23"/>
                <w:highlight w:val="none"/>
              </w:rPr>
              <w:t xml:space="preserve">年</w:t>
            </w:r>
            <w:r>
              <w:rPr>
                <w:rFonts w:hint="eastAsia" w:ascii="宋体" w:hAnsi="宋体" w:cs="宋体"/>
                <w:color w:val="auto"/>
                <w:spacing w:val="18"/>
                <w:sz w:val="23"/>
                <w:szCs w:val="23"/>
                <w:highlight w:val="none"/>
              </w:rPr>
              <w:t xml:space="preserve">  </w:t>
            </w:r>
            <w:r>
              <w:rPr>
                <w:rFonts w:hint="eastAsia" w:ascii="宋体" w:hAnsi="宋体" w:cs="宋体"/>
                <w:color w:val="auto"/>
                <w:spacing w:val="-16"/>
                <w:sz w:val="23"/>
                <w:szCs w:val="23"/>
                <w:highlight w:val="none"/>
              </w:rPr>
              <w:t xml:space="preserve">月</w:t>
            </w:r>
            <w:r>
              <w:rPr>
                <w:rFonts w:hint="eastAsia" w:ascii="宋体" w:hAnsi="宋体" w:cs="宋体"/>
                <w:color w:val="auto"/>
                <w:spacing w:val="12"/>
                <w:sz w:val="23"/>
                <w:szCs w:val="23"/>
                <w:highlight w:val="none"/>
              </w:rPr>
              <w:t xml:space="preserve">   </w:t>
            </w:r>
            <w:r>
              <w:rPr>
                <w:rFonts w:hint="eastAsia" w:ascii="宋体" w:hAnsi="宋体" w:cs="宋体"/>
                <w:color w:val="auto"/>
                <w:spacing w:val="-16"/>
                <w:sz w:val="23"/>
                <w:szCs w:val="23"/>
                <w:highlight w:val="none"/>
              </w:rPr>
              <w:t xml:space="preserve">日</w:t>
            </w:r>
            <w:r/>
          </w:p>
        </w:tc>
      </w:tr>
    </w:tbl>
    <w:p>
      <w:pPr>
        <w:pStyle w:val="1094"/>
        <w:ind w:left="513"/>
        <w:spacing w:before="284" w:line="219" w:lineRule="auto"/>
        <w:rPr>
          <w:rFonts w:hint="eastAsia" w:ascii="宋体" w:hAnsi="宋体" w:cs="宋体"/>
          <w:b/>
          <w:bCs/>
          <w:color w:val="auto"/>
          <w:spacing w:val="-5"/>
          <w:sz w:val="21"/>
          <w:szCs w:val="21"/>
          <w:highlight w:val="none"/>
        </w:rPr>
        <w:sectPr>
          <w:headerReference w:type="default" r:id="rId12"/>
          <w:footerReference w:type="default" r:id="rId19"/>
          <w:footnotePr/>
          <w:endnotePr/>
          <w:type w:val="nextPage"/>
          <w:pgSz w:w="11906" w:h="16838" w:orient="portrait"/>
          <w:pgMar w:top="1440" w:right="1417" w:bottom="1134" w:left="1417" w:header="851" w:footer="850" w:gutter="0"/>
          <w:cols w:num="1" w:sep="0" w:space="1701" w:equalWidth="1"/>
          <w:docGrid w:linePitch="360"/>
        </w:sectPr>
        <w:outlineLvl w:val="0"/>
      </w:pPr>
      <w:r>
        <w:rPr>
          <w:rFonts w:hint="eastAsia" w:ascii="宋体" w:hAnsi="宋体" w:cs="宋体"/>
          <w:b/>
          <w:bCs/>
          <w:color w:val="auto"/>
          <w:spacing w:val="-5"/>
          <w:sz w:val="21"/>
          <w:szCs w:val="21"/>
          <w:highlight w:val="none"/>
        </w:rPr>
      </w:r>
      <w:r/>
    </w:p>
    <w:p>
      <w:pPr>
        <w:pStyle w:val="1094"/>
        <w:jc w:val="lef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附件8：政府采购履约验收书</w:t>
      </w:r>
      <w:r/>
    </w:p>
    <w:p>
      <w:pPr>
        <w:ind w:left="3812"/>
        <w:spacing w:before="104" w:line="185" w:lineRule="auto"/>
        <w:rPr>
          <w:rFonts w:hint="eastAsia" w:ascii="宋体" w:hAnsi="宋体" w:cs="宋体"/>
          <w:color w:val="auto"/>
          <w:sz w:val="36"/>
          <w:szCs w:val="36"/>
          <w:highlight w:val="none"/>
        </w:rPr>
      </w:pPr>
      <w:r>
        <w:rPr>
          <w:rFonts w:hint="eastAsia" w:ascii="宋体" w:hAnsi="宋体" w:cs="宋体"/>
          <w:color w:val="auto"/>
          <w:spacing w:val="19"/>
          <w:sz w:val="36"/>
          <w:szCs w:val="36"/>
          <w:highlight w:val="none"/>
        </w:rPr>
        <w:t xml:space="preserve">政府采购履约验收书(服务类)</w:t>
      </w:r>
      <w:r/>
    </w:p>
    <w:tbl>
      <w:tblPr>
        <w:tblStyle w:val="1115"/>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textDirection w:val="lrTb"/>
            <w:noWrap w:val="false"/>
          </w:tcPr>
          <w:p>
            <w:pPr>
              <w:ind w:left="543"/>
              <w:spacing w:before="298" w:line="207" w:lineRule="auto"/>
              <w:rPr>
                <w:rFonts w:hint="eastAsia" w:ascii="宋体" w:hAnsi="宋体" w:cs="宋体"/>
                <w:color w:val="auto"/>
                <w:sz w:val="18"/>
                <w:szCs w:val="18"/>
                <w:highlight w:val="none"/>
              </w:rPr>
            </w:pPr>
            <w:r>
              <w:rPr>
                <w:rFonts w:hint="eastAsia" w:ascii="宋体" w:hAnsi="宋体" w:cs="宋体"/>
                <w:color w:val="auto"/>
                <w:spacing w:val="-3"/>
                <w:sz w:val="18"/>
                <w:szCs w:val="18"/>
                <w:highlight w:val="none"/>
              </w:rPr>
              <w:t xml:space="preserve">采购人</w:t>
            </w:r>
            <w:r/>
          </w:p>
        </w:tc>
        <w:tc>
          <w:tcPr>
            <w:tcW w:w="1714"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6" w:type="dxa"/>
            <w:textDirection w:val="lrTb"/>
            <w:noWrap w:val="false"/>
          </w:tcPr>
          <w:p>
            <w:pPr>
              <w:ind w:left="553"/>
              <w:spacing w:before="298" w:line="208" w:lineRule="auto"/>
              <w:rPr>
                <w:rFonts w:hint="eastAsia" w:ascii="宋体" w:hAnsi="宋体" w:cs="宋体"/>
                <w:color w:val="auto"/>
                <w:sz w:val="18"/>
                <w:szCs w:val="18"/>
                <w:highlight w:val="none"/>
              </w:rPr>
            </w:pPr>
            <w:r>
              <w:rPr>
                <w:rFonts w:hint="eastAsia" w:ascii="宋体" w:hAnsi="宋体" w:cs="宋体"/>
                <w:color w:val="auto"/>
                <w:spacing w:val="-3"/>
                <w:sz w:val="18"/>
                <w:szCs w:val="18"/>
                <w:highlight w:val="none"/>
              </w:rPr>
              <w:t xml:space="preserve">项目名称</w:t>
            </w:r>
            <w:r/>
          </w:p>
        </w:tc>
        <w:tc>
          <w:tcPr>
            <w:tcW w:w="2476"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3987" w:type="dxa"/>
            <w:textDirection w:val="lrTb"/>
            <w:noWrap w:val="false"/>
          </w:tcPr>
          <w:p>
            <w:pPr>
              <w:ind w:left="1640"/>
              <w:spacing w:before="298" w:line="207"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合同名称</w:t>
            </w:r>
            <w:r/>
          </w:p>
        </w:tc>
        <w:tc>
          <w:tcPr>
            <w:tcW w:w="2556"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4"/>
        </w:trPr>
        <w:tc>
          <w:tcPr>
            <w:tcW w:w="1625" w:type="dxa"/>
            <w:textDirection w:val="lrTb"/>
            <w:noWrap w:val="false"/>
          </w:tcPr>
          <w:p>
            <w:pPr>
              <w:ind w:left="544"/>
              <w:spacing w:before="298" w:line="207" w:lineRule="auto"/>
              <w:rPr>
                <w:rFonts w:hint="eastAsia" w:ascii="宋体" w:hAnsi="宋体" w:cs="宋体"/>
                <w:color w:val="auto"/>
                <w:sz w:val="18"/>
                <w:szCs w:val="18"/>
                <w:highlight w:val="none"/>
              </w:rPr>
            </w:pPr>
            <w:r>
              <w:rPr>
                <w:rFonts w:hint="eastAsia" w:ascii="宋体" w:hAnsi="宋体" w:cs="宋体"/>
                <w:color w:val="auto"/>
                <w:spacing w:val="-3"/>
                <w:sz w:val="18"/>
                <w:szCs w:val="18"/>
                <w:highlight w:val="none"/>
              </w:rPr>
              <w:t xml:space="preserve">供应商</w:t>
            </w:r>
            <w:r/>
          </w:p>
        </w:tc>
        <w:tc>
          <w:tcPr>
            <w:tcW w:w="1714"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6" w:type="dxa"/>
            <w:textDirection w:val="lrTb"/>
            <w:noWrap w:val="false"/>
          </w:tcPr>
          <w:p>
            <w:pPr>
              <w:ind w:left="285"/>
              <w:spacing w:before="298" w:line="207"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项目及合同编号</w:t>
            </w:r>
            <w:r/>
          </w:p>
        </w:tc>
        <w:tc>
          <w:tcPr>
            <w:tcW w:w="2476"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3987" w:type="dxa"/>
            <w:textDirection w:val="lrTb"/>
            <w:noWrap w:val="false"/>
          </w:tcPr>
          <w:p>
            <w:pPr>
              <w:ind w:left="1640"/>
              <w:spacing w:before="298" w:line="208"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合同金额</w:t>
            </w:r>
            <w:r/>
          </w:p>
        </w:tc>
        <w:tc>
          <w:tcPr>
            <w:tcW w:w="2556"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59"/>
        </w:trPr>
        <w:tc>
          <w:tcPr>
            <w:tcW w:w="1625" w:type="dxa"/>
            <w:textDirection w:val="lrTb"/>
            <w:noWrap w:val="false"/>
          </w:tcPr>
          <w:p>
            <w:pPr>
              <w:ind w:left="186"/>
              <w:spacing w:before="267" w:line="240" w:lineRule="exact"/>
              <w:rPr>
                <w:rFonts w:hint="eastAsia" w:ascii="宋体" w:hAnsi="宋体" w:cs="宋体"/>
                <w:color w:val="auto"/>
                <w:sz w:val="18"/>
                <w:szCs w:val="18"/>
                <w:highlight w:val="none"/>
              </w:rPr>
            </w:pPr>
            <w:r>
              <w:rPr>
                <w:rFonts w:hint="eastAsia" w:ascii="宋体" w:hAnsi="宋体" w:cs="宋体"/>
                <w:color w:val="auto"/>
                <w:spacing w:val="-2"/>
                <w:position w:val="1"/>
                <w:sz w:val="18"/>
                <w:szCs w:val="18"/>
                <w:highlight w:val="none"/>
              </w:rPr>
              <w:t xml:space="preserve">分期（段）验收</w:t>
            </w:r>
            <w:r/>
          </w:p>
        </w:tc>
        <w:tc>
          <w:tcPr>
            <w:tcW w:w="1714" w:type="dxa"/>
            <w:textDirection w:val="lrTb"/>
            <w:noWrap w:val="false"/>
          </w:tcPr>
          <w:p>
            <w:pPr>
              <w:ind w:left="367"/>
              <w:spacing w:before="267" w:line="240" w:lineRule="exact"/>
              <w:rPr>
                <w:rFonts w:hint="eastAsia" w:ascii="宋体" w:hAnsi="宋体" w:cs="宋体"/>
                <w:color w:val="auto"/>
                <w:sz w:val="18"/>
                <w:szCs w:val="18"/>
                <w:highlight w:val="none"/>
              </w:rPr>
            </w:pPr>
            <w:r>
              <w:rPr>
                <w:rFonts w:hint="eastAsia" w:ascii="宋体" w:hAnsi="宋体" w:cs="宋体"/>
                <w:color w:val="auto"/>
                <w:spacing w:val="-6"/>
                <w:position w:val="1"/>
                <w:sz w:val="18"/>
                <w:szCs w:val="18"/>
                <w:highlight w:val="none"/>
              </w:rPr>
              <w:t xml:space="preserve">是□</w:t>
            </w:r>
            <w:r>
              <w:rPr>
                <w:rFonts w:hint="eastAsia" w:ascii="宋体" w:hAnsi="宋体" w:cs="宋体"/>
                <w:color w:val="auto"/>
                <w:spacing w:val="4"/>
                <w:position w:val="1"/>
                <w:sz w:val="18"/>
                <w:szCs w:val="18"/>
                <w:highlight w:val="none"/>
              </w:rPr>
              <w:t xml:space="preserve">   </w:t>
            </w:r>
            <w:r>
              <w:rPr>
                <w:rFonts w:hint="eastAsia" w:ascii="宋体" w:hAnsi="宋体" w:cs="宋体"/>
                <w:color w:val="auto"/>
                <w:spacing w:val="-6"/>
                <w:position w:val="1"/>
                <w:sz w:val="18"/>
                <w:szCs w:val="18"/>
                <w:highlight w:val="none"/>
              </w:rPr>
              <w:t xml:space="preserve">否□</w:t>
            </w:r>
            <w:r/>
          </w:p>
        </w:tc>
        <w:tc>
          <w:tcPr>
            <w:tcW w:w="1816" w:type="dxa"/>
            <w:textDirection w:val="lrTb"/>
            <w:noWrap w:val="false"/>
          </w:tcPr>
          <w:p>
            <w:pPr>
              <w:ind w:left="284"/>
              <w:spacing w:before="267" w:line="240" w:lineRule="exact"/>
              <w:rPr>
                <w:rFonts w:hint="eastAsia" w:ascii="宋体" w:hAnsi="宋体" w:cs="宋体"/>
                <w:color w:val="auto"/>
                <w:sz w:val="18"/>
                <w:szCs w:val="18"/>
                <w:highlight w:val="none"/>
              </w:rPr>
            </w:pPr>
            <w:r>
              <w:rPr>
                <w:rFonts w:hint="eastAsia" w:ascii="宋体" w:hAnsi="宋体" w:cs="宋体"/>
                <w:color w:val="auto"/>
                <w:spacing w:val="-2"/>
                <w:position w:val="1"/>
                <w:sz w:val="18"/>
                <w:szCs w:val="18"/>
                <w:highlight w:val="none"/>
              </w:rPr>
              <w:t xml:space="preserve">分期（段）情况</w:t>
            </w:r>
            <w:r/>
          </w:p>
        </w:tc>
        <w:tc>
          <w:tcPr>
            <w:gridSpan w:val="4"/>
            <w:tcW w:w="9019" w:type="dxa"/>
            <w:textDirection w:val="lrTb"/>
            <w:noWrap w:val="false"/>
          </w:tcPr>
          <w:p>
            <w:pPr>
              <w:ind w:left="2804"/>
              <w:spacing w:before="267" w:line="240" w:lineRule="exact"/>
              <w:rPr>
                <w:rFonts w:hint="eastAsia"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共分   期（段</w:t>
            </w:r>
            <w:r>
              <w:rPr>
                <w:rFonts w:hint="eastAsia" w:ascii="宋体" w:hAnsi="宋体" w:cs="宋体"/>
                <w:color w:val="auto"/>
                <w:spacing w:val="6"/>
                <w:position w:val="1"/>
                <w:sz w:val="18"/>
                <w:szCs w:val="18"/>
                <w:highlight w:val="none"/>
              </w:rPr>
              <w:t xml:space="preserve">），</w:t>
            </w:r>
            <w:r>
              <w:rPr>
                <w:rFonts w:hint="eastAsia" w:ascii="宋体" w:hAnsi="宋体" w:cs="宋体"/>
                <w:color w:val="auto"/>
                <w:spacing w:val="-1"/>
                <w:position w:val="1"/>
                <w:sz w:val="18"/>
                <w:szCs w:val="18"/>
                <w:highlight w:val="none"/>
              </w:rPr>
              <w:t xml:space="preserve">此为第   期（段）验收</w:t>
            </w:r>
            <w:r/>
          </w:p>
        </w:tc>
      </w:tr>
      <w:tr>
        <w:trPr>
          <w:trHeight w:val="1679"/>
        </w:trPr>
        <w:tc>
          <w:tcPr>
            <w:tcW w:w="1625" w:type="dxa"/>
            <w:textDirection w:val="lrTb"/>
            <w:noWrap w:val="false"/>
          </w:tcPr>
          <w:p>
            <w:pPr>
              <w:pStyle w:val="1116"/>
              <w:spacing w:line="264"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64"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65"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454"/>
              <w:spacing w:before="58" w:line="208"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验收时间</w:t>
            </w:r>
            <w:r/>
          </w:p>
        </w:tc>
        <w:tc>
          <w:tcPr>
            <w:tcW w:w="1714"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6" w:type="dxa"/>
            <w:textDirection w:val="lrTb"/>
            <w:noWrap w:val="false"/>
          </w:tcPr>
          <w:p>
            <w:pPr>
              <w:pStyle w:val="1116"/>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6"/>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6"/>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50"/>
              <w:spacing w:before="58" w:line="208"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验收地点</w:t>
            </w:r>
            <w:r/>
          </w:p>
        </w:tc>
        <w:tc>
          <w:tcPr>
            <w:tcW w:w="2476"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3987" w:type="dxa"/>
            <w:textDirection w:val="lrTb"/>
            <w:noWrap w:val="false"/>
          </w:tcPr>
          <w:p>
            <w:pPr>
              <w:pStyle w:val="1116"/>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6"/>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6"/>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1459"/>
              <w:spacing w:before="59" w:line="208"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验收组织形式</w:t>
            </w:r>
            <w:r/>
          </w:p>
        </w:tc>
        <w:tc>
          <w:tcPr>
            <w:tcW w:w="2556" w:type="dxa"/>
            <w:textDirection w:val="lrTb"/>
            <w:noWrap w:val="false"/>
          </w:tcPr>
          <w:p>
            <w:pPr>
              <w:ind w:left="673"/>
              <w:spacing w:before="267" w:line="239" w:lineRule="exact"/>
              <w:rPr>
                <w:rFonts w:hint="eastAsia" w:ascii="宋体" w:hAnsi="宋体" w:cs="宋体"/>
                <w:color w:val="auto"/>
                <w:sz w:val="18"/>
                <w:szCs w:val="18"/>
                <w:highlight w:val="none"/>
              </w:rPr>
            </w:pPr>
            <w:r>
              <w:rPr>
                <w:rFonts w:hint="eastAsia" w:ascii="宋体" w:hAnsi="宋体" w:cs="宋体"/>
                <w:color w:val="auto"/>
                <w:spacing w:val="-4"/>
                <w:position w:val="1"/>
                <w:sz w:val="18"/>
                <w:szCs w:val="18"/>
                <w:highlight w:val="none"/>
              </w:rPr>
              <w:t xml:space="preserve">□自行简易验收</w:t>
            </w:r>
            <w:r/>
          </w:p>
          <w:p>
            <w:pPr>
              <w:pStyle w:val="1116"/>
              <w:spacing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673"/>
              <w:spacing w:before="58" w:line="240" w:lineRule="exact"/>
              <w:rPr>
                <w:rFonts w:hint="eastAsia" w:ascii="宋体" w:hAnsi="宋体" w:cs="宋体"/>
                <w:color w:val="auto"/>
                <w:sz w:val="18"/>
                <w:szCs w:val="18"/>
                <w:highlight w:val="none"/>
              </w:rPr>
            </w:pPr>
            <w:r>
              <w:rPr>
                <w:rFonts w:hint="eastAsia" w:ascii="宋体" w:hAnsi="宋体" w:cs="宋体"/>
                <w:color w:val="auto"/>
                <w:spacing w:val="-4"/>
                <w:position w:val="1"/>
                <w:sz w:val="18"/>
                <w:szCs w:val="18"/>
                <w:highlight w:val="none"/>
              </w:rPr>
              <w:t xml:space="preserve">□验收小组验收</w:t>
            </w:r>
            <w:r/>
          </w:p>
          <w:p>
            <w:pPr>
              <w:pStyle w:val="1116"/>
              <w:spacing w:line="262"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582"/>
              <w:spacing w:before="58" w:line="239" w:lineRule="exact"/>
              <w:rPr>
                <w:rFonts w:hint="eastAsia" w:ascii="宋体" w:hAnsi="宋体" w:cs="宋体"/>
                <w:color w:val="auto"/>
                <w:sz w:val="18"/>
                <w:szCs w:val="18"/>
                <w:highlight w:val="none"/>
              </w:rPr>
            </w:pPr>
            <w:r>
              <w:rPr>
                <w:rFonts w:hint="eastAsia" w:ascii="宋体" w:hAnsi="宋体" w:cs="宋体"/>
                <w:color w:val="auto"/>
                <w:spacing w:val="-3"/>
                <w:position w:val="1"/>
                <w:sz w:val="18"/>
                <w:szCs w:val="18"/>
                <w:highlight w:val="none"/>
              </w:rPr>
              <w:t xml:space="preserve">□采购代理机构验收</w:t>
            </w:r>
            <w:r/>
          </w:p>
        </w:tc>
      </w:tr>
      <w:tr>
        <w:trPr>
          <w:trHeight w:val="560"/>
        </w:trPr>
        <w:tc>
          <w:tcPr>
            <w:tcBorders>
              <w:bottom w:val="none" w:color="000000" w:sz="4" w:space="0"/>
            </w:tcBorders>
            <w:tcW w:w="1625" w:type="dxa"/>
            <w:vMerge w:val="restart"/>
            <w:textDirection w:val="lrTb"/>
            <w:noWrap w:val="false"/>
          </w:tcPr>
          <w:p>
            <w:pPr>
              <w:pStyle w:val="1116"/>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6"/>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6"/>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454"/>
              <w:spacing w:before="58" w:line="208"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验收内容</w:t>
            </w:r>
            <w:r/>
          </w:p>
        </w:tc>
        <w:tc>
          <w:tcPr>
            <w:tcW w:w="1714" w:type="dxa"/>
            <w:textDirection w:val="lrTb"/>
            <w:noWrap w:val="false"/>
          </w:tcPr>
          <w:p>
            <w:pPr>
              <w:ind w:left="498"/>
              <w:spacing w:before="298" w:line="208"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服务质量</w:t>
            </w:r>
            <w:r/>
          </w:p>
        </w:tc>
        <w:tc>
          <w:tcPr>
            <w:tcW w:w="1816" w:type="dxa"/>
            <w:textDirection w:val="lrTb"/>
            <w:noWrap w:val="false"/>
          </w:tcPr>
          <w:p>
            <w:pPr>
              <w:ind w:left="551"/>
              <w:spacing w:before="298" w:line="208"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服务进度</w:t>
            </w:r>
            <w:r/>
          </w:p>
        </w:tc>
        <w:tc>
          <w:tcPr>
            <w:tcW w:w="2476" w:type="dxa"/>
            <w:textDirection w:val="lrTb"/>
            <w:noWrap w:val="false"/>
          </w:tcPr>
          <w:p>
            <w:pPr>
              <w:ind w:left="387"/>
              <w:spacing w:before="298" w:line="207" w:lineRule="auto"/>
              <w:rPr>
                <w:rFonts w:hint="eastAsia" w:ascii="宋体" w:hAnsi="宋体" w:cs="宋体"/>
                <w:color w:val="auto"/>
                <w:sz w:val="18"/>
                <w:szCs w:val="18"/>
                <w:highlight w:val="none"/>
              </w:rPr>
            </w:pPr>
            <w:r>
              <w:rPr>
                <w:rFonts w:hint="eastAsia" w:ascii="宋体" w:hAnsi="宋体" w:cs="宋体"/>
                <w:color w:val="auto"/>
                <w:spacing w:val="-1"/>
                <w:sz w:val="18"/>
                <w:szCs w:val="18"/>
                <w:highlight w:val="none"/>
              </w:rPr>
              <w:t xml:space="preserve">人员、设备 配备情况</w:t>
            </w:r>
            <w:r/>
          </w:p>
        </w:tc>
        <w:tc>
          <w:tcPr>
            <w:tcW w:w="1705" w:type="dxa"/>
            <w:textDirection w:val="lrTb"/>
            <w:noWrap w:val="false"/>
          </w:tcPr>
          <w:p>
            <w:pPr>
              <w:ind w:left="231"/>
              <w:spacing w:before="297" w:line="209"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行业、安全标准</w:t>
            </w:r>
            <w:r/>
          </w:p>
        </w:tc>
        <w:tc>
          <w:tcPr>
            <w:tcW w:w="2282" w:type="dxa"/>
            <w:textDirection w:val="lrTb"/>
            <w:noWrap w:val="false"/>
          </w:tcPr>
          <w:p>
            <w:pPr>
              <w:ind w:left="340"/>
              <w:spacing w:before="298" w:line="208"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项目需求、服务承诺</w:t>
            </w:r>
            <w:r/>
          </w:p>
        </w:tc>
        <w:tc>
          <w:tcPr>
            <w:tcW w:w="2556" w:type="dxa"/>
            <w:textDirection w:val="lrTb"/>
            <w:noWrap w:val="false"/>
          </w:tcPr>
          <w:p>
            <w:pPr>
              <w:ind w:left="159"/>
              <w:spacing w:before="299" w:line="208" w:lineRule="auto"/>
              <w:rPr>
                <w:rFonts w:hint="eastAsia" w:ascii="宋体" w:hAnsi="宋体" w:cs="宋体"/>
                <w:color w:val="auto"/>
                <w:sz w:val="18"/>
                <w:szCs w:val="18"/>
                <w:highlight w:val="none"/>
              </w:rPr>
            </w:pPr>
            <w:r>
              <w:rPr>
                <w:rFonts w:hint="eastAsia" w:ascii="宋体" w:hAnsi="宋体" w:cs="宋体"/>
                <w:color w:val="auto"/>
                <w:spacing w:val="-1"/>
                <w:sz w:val="18"/>
                <w:szCs w:val="18"/>
                <w:highlight w:val="none"/>
              </w:rPr>
              <w:t xml:space="preserve">合同履约时间、 地点、方式</w:t>
            </w:r>
            <w:r/>
          </w:p>
        </w:tc>
      </w:tr>
      <w:tr>
        <w:trPr>
          <w:trHeight w:val="1119"/>
        </w:trPr>
        <w:tc>
          <w:tcPr>
            <w:tcBorders>
              <w:top w:val="none" w:color="000000" w:sz="4" w:space="0"/>
            </w:tcBorders>
            <w:tcW w:w="1625" w:type="dxa"/>
            <w:vMerge w:val="continue"/>
            <w:textDirection w:val="lrTb"/>
            <w:noWrap w:val="false"/>
          </w:tcPr>
          <w:p>
            <w:pPr>
              <w:pStyle w:val="111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714" w:type="dxa"/>
            <w:textDirection w:val="lrTb"/>
            <w:noWrap w:val="false"/>
          </w:tcPr>
          <w:p>
            <w:pPr>
              <w:ind w:left="501" w:right="497" w:hanging="2"/>
              <w:spacing w:before="270" w:line="430" w:lineRule="auto"/>
              <w:rPr>
                <w:rFonts w:hint="eastAsia"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1816" w:type="dxa"/>
            <w:textDirection w:val="lrTb"/>
            <w:noWrap w:val="false"/>
          </w:tcPr>
          <w:p>
            <w:pPr>
              <w:ind w:left="553" w:right="547" w:hanging="1"/>
              <w:spacing w:before="270" w:line="430" w:lineRule="auto"/>
              <w:rPr>
                <w:rFonts w:hint="eastAsia" w:ascii="宋体" w:hAnsi="宋体" w:cs="宋体"/>
                <w:color w:val="auto"/>
                <w:sz w:val="18"/>
                <w:szCs w:val="18"/>
                <w:highlight w:val="none"/>
              </w:rPr>
            </w:pPr>
            <w:r>
              <w:rPr>
                <w:rFonts w:hint="eastAsia" w:ascii="宋体" w:hAnsi="宋体" w:cs="宋体"/>
                <w:color w:val="auto"/>
                <w:spacing w:val="-8"/>
                <w:sz w:val="18"/>
                <w:szCs w:val="18"/>
                <w:highlight w:val="none"/>
              </w:rPr>
              <w:t xml:space="preserve">按</w:t>
            </w:r>
            <w:r>
              <w:rPr>
                <w:rFonts w:hint="eastAsia" w:ascii="宋体" w:hAnsi="宋体" w:cs="宋体"/>
                <w:color w:val="auto"/>
                <w:spacing w:val="7"/>
                <w:sz w:val="18"/>
                <w:szCs w:val="18"/>
                <w:highlight w:val="none"/>
              </w:rPr>
              <w:t xml:space="preserve">  </w:t>
            </w:r>
            <w:r>
              <w:rPr>
                <w:rFonts w:hint="eastAsia" w:ascii="宋体" w:hAnsi="宋体" w:cs="宋体"/>
                <w:color w:val="auto"/>
                <w:spacing w:val="-8"/>
                <w:sz w:val="18"/>
                <w:szCs w:val="18"/>
                <w:highlight w:val="none"/>
              </w:rPr>
              <w:t xml:space="preserve">时□</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不按时□</w:t>
            </w:r>
            <w:r/>
          </w:p>
        </w:tc>
        <w:tc>
          <w:tcPr>
            <w:tcW w:w="2476" w:type="dxa"/>
            <w:textDirection w:val="lrTb"/>
            <w:noWrap w:val="false"/>
          </w:tcPr>
          <w:p>
            <w:pPr>
              <w:ind w:left="885" w:right="875" w:hanging="2"/>
              <w:spacing w:before="270" w:line="430" w:lineRule="auto"/>
              <w:rPr>
                <w:rFonts w:hint="eastAsia"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1705" w:type="dxa"/>
            <w:textDirection w:val="lrTb"/>
            <w:noWrap w:val="false"/>
          </w:tcPr>
          <w:p>
            <w:pPr>
              <w:ind w:left="500" w:right="489" w:hanging="2"/>
              <w:spacing w:before="270" w:line="430" w:lineRule="auto"/>
              <w:rPr>
                <w:rFonts w:hint="eastAsia"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2282" w:type="dxa"/>
            <w:textDirection w:val="lrTb"/>
            <w:noWrap w:val="false"/>
          </w:tcPr>
          <w:p>
            <w:pPr>
              <w:ind w:left="789" w:right="777" w:hanging="2"/>
              <w:spacing w:before="270" w:line="430" w:lineRule="auto"/>
              <w:rPr>
                <w:rFonts w:hint="eastAsia"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2556" w:type="dxa"/>
            <w:textDirection w:val="lrTb"/>
            <w:noWrap w:val="false"/>
          </w:tcPr>
          <w:p>
            <w:pPr>
              <w:ind w:left="926" w:right="914" w:hanging="2"/>
              <w:spacing w:before="270" w:line="430" w:lineRule="auto"/>
              <w:rPr>
                <w:rFonts w:hint="eastAsia"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r>
      <w:tr>
        <w:trPr>
          <w:trHeight w:val="1119"/>
        </w:trPr>
        <w:tc>
          <w:tcPr>
            <w:tcW w:w="1625" w:type="dxa"/>
            <w:textDirection w:val="lrTb"/>
            <w:noWrap w:val="false"/>
          </w:tcPr>
          <w:p>
            <w:pPr>
              <w:ind w:left="185"/>
              <w:spacing w:before="299" w:line="208"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专业检测机构情</w:t>
            </w:r>
            <w:r/>
          </w:p>
          <w:p>
            <w:pPr>
              <w:pStyle w:val="1116"/>
              <w:spacing w:line="298"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545"/>
              <w:spacing w:before="59" w:line="207" w:lineRule="auto"/>
              <w:rPr>
                <w:rFonts w:hint="eastAsia" w:ascii="宋体" w:hAnsi="宋体" w:cs="宋体"/>
                <w:color w:val="auto"/>
                <w:sz w:val="18"/>
                <w:szCs w:val="18"/>
                <w:highlight w:val="none"/>
              </w:rPr>
            </w:pPr>
            <w:r>
              <w:rPr>
                <w:rFonts w:hint="eastAsia" w:ascii="宋体" w:hAnsi="宋体" w:cs="宋体"/>
                <w:color w:val="auto"/>
                <w:spacing w:val="-3"/>
                <w:sz w:val="18"/>
                <w:szCs w:val="18"/>
                <w:highlight w:val="none"/>
              </w:rPr>
              <w:t xml:space="preserve">况说明</w:t>
            </w:r>
            <w:r/>
          </w:p>
        </w:tc>
        <w:tc>
          <w:tcPr>
            <w:gridSpan w:val="6"/>
            <w:tcW w:w="12549" w:type="dxa"/>
            <w:textDirection w:val="lrTb"/>
            <w:noWrap w:val="false"/>
          </w:tcPr>
          <w:p>
            <w:pPr>
              <w:pStyle w:val="111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trHeight w:val="1120"/>
        </w:trPr>
        <w:tc>
          <w:tcPr>
            <w:tcW w:w="1625" w:type="dxa"/>
            <w:textDirection w:val="lrTb"/>
            <w:noWrap w:val="false"/>
          </w:tcPr>
          <w:p>
            <w:pPr>
              <w:pStyle w:val="1116"/>
              <w:spacing w:line="24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454"/>
              <w:spacing w:before="58" w:line="207"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存在问题</w:t>
            </w:r>
            <w:r/>
          </w:p>
          <w:p>
            <w:pPr>
              <w:pStyle w:val="1116"/>
              <w:spacing w:line="29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365"/>
              <w:spacing w:before="58" w:line="207"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和改进意见</w:t>
            </w:r>
            <w:r/>
          </w:p>
        </w:tc>
        <w:tc>
          <w:tcPr>
            <w:gridSpan w:val="6"/>
            <w:tcW w:w="12549"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1"/>
          <w:highlight w:val="none"/>
        </w:rPr>
        <w:sectPr>
          <w:footerReference w:type="default" r:id="rId20"/>
          <w:footnotePr/>
          <w:endnotePr/>
          <w:type w:val="nextPage"/>
          <w:pgSz w:w="16838" w:h="11906" w:orient="landscape"/>
          <w:pgMar w:top="1011" w:right="956" w:bottom="1380" w:left="1459" w:header="0" w:footer="1162" w:gutter="0"/>
          <w:cols w:num="1" w:sep="0" w:space="720" w:equalWidth="1"/>
          <w:docGrid w:linePitch="360"/>
        </w:sectPr>
      </w:pPr>
      <w:r>
        <w:rPr>
          <w:rFonts w:hint="eastAsia" w:ascii="宋体" w:hAnsi="宋体" w:cs="宋体"/>
          <w:color w:val="auto"/>
          <w:szCs w:val="21"/>
          <w:highlight w:val="none"/>
        </w:rPr>
      </w:r>
      <w:r/>
    </w:p>
    <w:p>
      <w:pPr>
        <w:spacing w:before="164"/>
        <w:rPr>
          <w:rFonts w:hint="eastAsia" w:ascii="宋体" w:hAnsi="宋体" w:cs="宋体"/>
          <w:color w:val="auto"/>
          <w:highlight w:val="none"/>
        </w:rPr>
      </w:pPr>
      <w:r>
        <w:rPr>
          <w:rFonts w:hint="eastAsia" w:ascii="宋体" w:hAnsi="宋体" w:cs="宋体"/>
          <w:color w:val="auto"/>
          <w:highlight w:val="none"/>
        </w:rPr>
      </w:r>
      <w:r/>
    </w:p>
    <w:tbl>
      <w:tblPr>
        <w:tblStyle w:val="1115"/>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textDirection w:val="lrTb"/>
            <w:noWrap w:val="false"/>
          </w:tcPr>
          <w:p>
            <w:pPr>
              <w:pStyle w:val="1116"/>
              <w:spacing w:line="30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457"/>
              <w:spacing w:before="58" w:line="207" w:lineRule="auto"/>
              <w:rPr>
                <w:rFonts w:hint="eastAsia" w:ascii="宋体" w:hAnsi="宋体" w:cs="宋体"/>
                <w:color w:val="auto"/>
                <w:sz w:val="18"/>
                <w:szCs w:val="18"/>
                <w:highlight w:val="none"/>
              </w:rPr>
            </w:pPr>
            <w:r>
              <w:rPr>
                <w:rFonts w:hint="eastAsia" w:ascii="宋体" w:hAnsi="宋体" w:cs="宋体"/>
                <w:color w:val="auto"/>
                <w:spacing w:val="-3"/>
                <w:sz w:val="18"/>
                <w:szCs w:val="18"/>
                <w:highlight w:val="none"/>
              </w:rPr>
              <w:t xml:space="preserve">最终结论</w:t>
            </w:r>
            <w:r/>
          </w:p>
        </w:tc>
        <w:tc>
          <w:tcPr>
            <w:gridSpan w:val="2"/>
            <w:tcW w:w="12550" w:type="dxa"/>
            <w:textDirection w:val="lrTb"/>
            <w:noWrap w:val="false"/>
          </w:tcPr>
          <w:p>
            <w:pPr>
              <w:pStyle w:val="1116"/>
              <w:spacing w:line="27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4210"/>
              <w:spacing w:before="58" w:line="240" w:lineRule="exact"/>
              <w:rPr>
                <w:rFonts w:hint="eastAsia" w:ascii="宋体" w:hAnsi="宋体" w:cs="宋体"/>
                <w:color w:val="auto"/>
                <w:sz w:val="18"/>
                <w:szCs w:val="18"/>
                <w:highlight w:val="none"/>
              </w:rPr>
            </w:pPr>
            <w:r>
              <w:rPr>
                <w:rFonts w:hint="eastAsia" w:ascii="宋体" w:hAnsi="宋体" w:cs="宋体"/>
                <w:color w:val="auto"/>
                <w:spacing w:val="-2"/>
                <w:position w:val="1"/>
                <w:sz w:val="18"/>
                <w:szCs w:val="18"/>
                <w:highlight w:val="none"/>
              </w:rPr>
              <w:t xml:space="preserve">合  格□</w:t>
            </w:r>
            <w:r>
              <w:rPr>
                <w:rFonts w:hint="eastAsia" w:ascii="宋体" w:hAnsi="宋体" w:cs="宋体"/>
                <w:color w:val="auto"/>
                <w:position w:val="1"/>
                <w:sz w:val="18"/>
                <w:szCs w:val="18"/>
                <w:highlight w:val="none"/>
              </w:rPr>
              <w:t xml:space="preserve">                              </w:t>
            </w:r>
            <w:r>
              <w:rPr>
                <w:rFonts w:hint="eastAsia" w:ascii="宋体" w:hAnsi="宋体" w:cs="宋体"/>
                <w:color w:val="auto"/>
                <w:spacing w:val="-2"/>
                <w:position w:val="1"/>
                <w:sz w:val="18"/>
                <w:szCs w:val="18"/>
                <w:highlight w:val="none"/>
              </w:rPr>
              <w:t xml:space="preserve">不合格□</w:t>
            </w:r>
            <w:r/>
          </w:p>
        </w:tc>
      </w:tr>
      <w:tr>
        <w:trPr>
          <w:trHeight w:val="1119"/>
        </w:trPr>
        <w:tc>
          <w:tcPr>
            <w:tcW w:w="1624" w:type="dxa"/>
            <w:textDirection w:val="lrTb"/>
            <w:noWrap w:val="false"/>
          </w:tcPr>
          <w:p>
            <w:pPr>
              <w:ind w:left="274"/>
              <w:spacing w:before="295" w:line="208"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验收小组成员</w:t>
            </w:r>
            <w:r/>
          </w:p>
          <w:p>
            <w:pPr>
              <w:pStyle w:val="1116"/>
              <w:spacing w:line="29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635"/>
              <w:spacing w:before="58" w:line="208" w:lineRule="auto"/>
              <w:rPr>
                <w:rFonts w:hint="eastAsia" w:ascii="宋体" w:hAnsi="宋体" w:cs="宋体"/>
                <w:color w:val="auto"/>
                <w:sz w:val="18"/>
                <w:szCs w:val="18"/>
                <w:highlight w:val="none"/>
              </w:rPr>
            </w:pPr>
            <w:r>
              <w:rPr>
                <w:rFonts w:hint="eastAsia" w:ascii="宋体" w:hAnsi="宋体" w:cs="宋体"/>
                <w:color w:val="auto"/>
                <w:spacing w:val="-4"/>
                <w:sz w:val="18"/>
                <w:szCs w:val="18"/>
                <w:highlight w:val="none"/>
              </w:rPr>
              <w:t xml:space="preserve">签字</w:t>
            </w:r>
            <w:r/>
          </w:p>
        </w:tc>
        <w:tc>
          <w:tcPr>
            <w:gridSpan w:val="2"/>
            <w:tcW w:w="12550" w:type="dxa"/>
            <w:textDirection w:val="lrTb"/>
            <w:noWrap w:val="false"/>
          </w:tcPr>
          <w:p>
            <w:pPr>
              <w:pStyle w:val="1116"/>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59"/>
        </w:trPr>
        <w:tc>
          <w:tcPr>
            <w:gridSpan w:val="2"/>
            <w:tcW w:w="7059" w:type="dxa"/>
            <w:textDirection w:val="lrTb"/>
            <w:noWrap w:val="false"/>
          </w:tcPr>
          <w:p>
            <w:pPr>
              <w:ind w:left="2814"/>
              <w:spacing w:before="297" w:line="208" w:lineRule="auto"/>
              <w:rPr>
                <w:rFonts w:hint="eastAsia" w:ascii="宋体" w:hAnsi="宋体" w:cs="宋体"/>
                <w:color w:val="auto"/>
                <w:sz w:val="18"/>
                <w:szCs w:val="18"/>
                <w:highlight w:val="none"/>
              </w:rPr>
            </w:pPr>
            <w:r>
              <w:rPr>
                <w:rFonts w:hint="eastAsia" w:ascii="宋体" w:hAnsi="宋体" w:cs="宋体"/>
                <w:color w:val="auto"/>
                <w:spacing w:val="-1"/>
                <w:sz w:val="18"/>
                <w:szCs w:val="18"/>
                <w:highlight w:val="none"/>
              </w:rPr>
              <w:t xml:space="preserve">采购代理机构意见</w:t>
            </w:r>
            <w:r/>
          </w:p>
        </w:tc>
        <w:tc>
          <w:tcPr>
            <w:tcW w:w="7115" w:type="dxa"/>
            <w:textDirection w:val="lrTb"/>
            <w:noWrap w:val="false"/>
          </w:tcPr>
          <w:p>
            <w:pPr>
              <w:ind w:left="3111"/>
              <w:spacing w:before="297" w:line="207"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采购人意见</w:t>
            </w:r>
            <w:r/>
          </w:p>
        </w:tc>
      </w:tr>
      <w:tr>
        <w:trPr>
          <w:trHeight w:val="1119"/>
        </w:trPr>
        <w:tc>
          <w:tcPr>
            <w:gridSpan w:val="2"/>
            <w:tcW w:w="7059" w:type="dxa"/>
            <w:textDirection w:val="lrTb"/>
            <w:noWrap w:val="false"/>
          </w:tcPr>
          <w:p>
            <w:pPr>
              <w:pStyle w:val="1116"/>
              <w:spacing w:line="255"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55"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55"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113"/>
              <w:spacing w:before="59" w:line="238" w:lineRule="exact"/>
              <w:rPr>
                <w:rFonts w:hint="eastAsia"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经办人：         负责人</w:t>
            </w:r>
            <w:r>
              <w:rPr>
                <w:rFonts w:hint="eastAsia" w:ascii="宋体" w:hAnsi="宋体" w:cs="宋体"/>
                <w:color w:val="auto"/>
                <w:spacing w:val="-18"/>
                <w:position w:val="1"/>
                <w:sz w:val="18"/>
                <w:szCs w:val="18"/>
                <w:highlight w:val="none"/>
              </w:rPr>
              <w:t xml:space="preserve">：</w:t>
            </w:r>
            <w:r>
              <w:rPr>
                <w:rFonts w:hint="eastAsia" w:ascii="宋体" w:hAnsi="宋体" w:cs="宋体"/>
                <w:color w:val="auto"/>
                <w:position w:val="1"/>
                <w:sz w:val="18"/>
                <w:szCs w:val="18"/>
                <w:highlight w:val="none"/>
              </w:rPr>
              <w:t xml:space="preserve">           </w:t>
            </w:r>
            <w:r>
              <w:rPr>
                <w:rFonts w:hint="eastAsia" w:ascii="宋体" w:hAnsi="宋体" w:cs="宋体"/>
                <w:color w:val="auto"/>
                <w:spacing w:val="-18"/>
                <w:position w:val="1"/>
                <w:sz w:val="18"/>
                <w:szCs w:val="18"/>
                <w:highlight w:val="none"/>
              </w:rPr>
              <w:t xml:space="preserve">（</w:t>
            </w:r>
            <w:r>
              <w:rPr>
                <w:rFonts w:hint="eastAsia" w:ascii="宋体" w:hAnsi="宋体" w:cs="宋体"/>
                <w:color w:val="auto"/>
                <w:spacing w:val="1"/>
                <w:position w:val="1"/>
                <w:sz w:val="18"/>
                <w:szCs w:val="18"/>
                <w:highlight w:val="none"/>
              </w:rPr>
              <w:t xml:space="preserve">采购代理机构公章）</w:t>
            </w:r>
            <w:r/>
          </w:p>
        </w:tc>
        <w:tc>
          <w:tcPr>
            <w:tcW w:w="7115" w:type="dxa"/>
            <w:textDirection w:val="lrTb"/>
            <w:noWrap w:val="false"/>
          </w:tcPr>
          <w:p>
            <w:pPr>
              <w:pStyle w:val="1116"/>
              <w:spacing w:line="255"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55"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55"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115"/>
              <w:spacing w:before="59" w:line="238" w:lineRule="exact"/>
              <w:rPr>
                <w:rFonts w:hint="eastAsia"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经办人：         负责人</w:t>
            </w:r>
            <w:r>
              <w:rPr>
                <w:rFonts w:hint="eastAsia" w:ascii="宋体" w:hAnsi="宋体" w:cs="宋体"/>
                <w:color w:val="auto"/>
                <w:spacing w:val="-17"/>
                <w:position w:val="1"/>
                <w:sz w:val="18"/>
                <w:szCs w:val="18"/>
                <w:highlight w:val="none"/>
              </w:rPr>
              <w:t xml:space="preserve">：</w:t>
            </w:r>
            <w:r>
              <w:rPr>
                <w:rFonts w:hint="eastAsia" w:ascii="宋体" w:hAnsi="宋体" w:cs="宋体"/>
                <w:color w:val="auto"/>
                <w:position w:val="1"/>
                <w:sz w:val="18"/>
                <w:szCs w:val="18"/>
                <w:highlight w:val="none"/>
              </w:rPr>
              <w:t xml:space="preserve">               </w:t>
            </w:r>
            <w:r>
              <w:rPr>
                <w:rFonts w:hint="eastAsia" w:ascii="宋体" w:hAnsi="宋体" w:cs="宋体"/>
                <w:color w:val="auto"/>
                <w:spacing w:val="-17"/>
                <w:position w:val="1"/>
                <w:sz w:val="18"/>
                <w:szCs w:val="18"/>
                <w:highlight w:val="none"/>
              </w:rPr>
              <w:t xml:space="preserve">（</w:t>
            </w:r>
            <w:r>
              <w:rPr>
                <w:rFonts w:hint="eastAsia" w:ascii="宋体" w:hAnsi="宋体" w:cs="宋体"/>
                <w:color w:val="auto"/>
                <w:spacing w:val="1"/>
                <w:position w:val="1"/>
                <w:sz w:val="18"/>
                <w:szCs w:val="18"/>
                <w:highlight w:val="none"/>
              </w:rPr>
              <w:t xml:space="preserve">采购人公章）</w:t>
            </w:r>
            <w:r/>
          </w:p>
        </w:tc>
      </w:tr>
      <w:tr>
        <w:trPr>
          <w:trHeight w:val="1681"/>
        </w:trPr>
        <w:tc>
          <w:tcPr>
            <w:gridSpan w:val="3"/>
            <w:tcW w:w="14174" w:type="dxa"/>
            <w:textDirection w:val="lrTb"/>
            <w:noWrap w:val="false"/>
          </w:tcPr>
          <w:p>
            <w:pPr>
              <w:ind w:left="112"/>
              <w:spacing w:before="299" w:line="207" w:lineRule="auto"/>
              <w:rPr>
                <w:rFonts w:hint="eastAsia" w:ascii="宋体" w:hAnsi="宋体" w:cs="宋体"/>
                <w:color w:val="auto"/>
                <w:sz w:val="18"/>
                <w:szCs w:val="18"/>
                <w:highlight w:val="none"/>
              </w:rPr>
            </w:pPr>
            <w:r>
              <w:rPr>
                <w:rFonts w:hint="eastAsia" w:ascii="宋体" w:hAnsi="宋体" w:cs="宋体"/>
                <w:color w:val="auto"/>
                <w:spacing w:val="-2"/>
                <w:sz w:val="18"/>
                <w:szCs w:val="18"/>
                <w:highlight w:val="none"/>
              </w:rPr>
              <w:t xml:space="preserve">供应商确认：</w:t>
            </w:r>
            <w:r/>
          </w:p>
          <w:p>
            <w:pPr>
              <w:pStyle w:val="1116"/>
              <w:spacing w:line="275"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75"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16"/>
              <w:spacing w:line="275"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117"/>
              <w:spacing w:before="58" w:line="239" w:lineRule="exact"/>
              <w:rPr>
                <w:rFonts w:hint="eastAsia"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（单位公章或授权代表签字）</w:t>
            </w:r>
            <w:r/>
          </w:p>
        </w:tc>
      </w:tr>
    </w:tbl>
    <w:p>
      <w:pPr>
        <w:ind w:left="85"/>
        <w:spacing w:before="296" w:line="211"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说明：1.该表为服务类项目履约验收的参考样表，采购人或采购代理机构可以</w:t>
      </w:r>
      <w:r>
        <w:rPr>
          <w:rFonts w:hint="eastAsia" w:ascii="宋体" w:hAnsi="宋体" w:cs="宋体"/>
          <w:color w:val="auto"/>
          <w:spacing w:val="-1"/>
          <w:sz w:val="18"/>
          <w:szCs w:val="18"/>
          <w:highlight w:val="none"/>
        </w:rPr>
        <w:t xml:space="preserve">根据工作实际进行调整。</w:t>
      </w:r>
      <w:r/>
    </w:p>
    <w:p>
      <w:pPr>
        <w:spacing w:line="295" w:lineRule="auto"/>
        <w:rPr>
          <w:rFonts w:hint="eastAsia" w:ascii="宋体" w:hAnsi="宋体" w:cs="宋体"/>
          <w:color w:val="auto"/>
          <w:highlight w:val="none"/>
        </w:rPr>
      </w:pPr>
      <w:r>
        <w:rPr>
          <w:rFonts w:hint="eastAsia" w:ascii="宋体" w:hAnsi="宋体" w:cs="宋体"/>
          <w:color w:val="auto"/>
          <w:highlight w:val="none"/>
        </w:rPr>
      </w:r>
      <w:r/>
    </w:p>
    <w:p>
      <w:pPr>
        <w:ind w:left="625"/>
        <w:spacing w:before="59" w:line="211"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2.未委托采购代理机构开展履约验收工作的，无需填写“</w:t>
      </w:r>
      <w:r>
        <w:rPr>
          <w:rFonts w:hint="eastAsia" w:ascii="宋体" w:hAnsi="宋体" w:cs="宋体"/>
          <w:color w:val="auto"/>
          <w:spacing w:val="-1"/>
          <w:sz w:val="18"/>
          <w:szCs w:val="18"/>
          <w:highlight w:val="none"/>
        </w:rPr>
        <w:t xml:space="preserve">采购代理机构意见</w:t>
      </w:r>
      <w:r>
        <w:rPr>
          <w:rFonts w:hint="eastAsia" w:ascii="宋体" w:hAnsi="宋体" w:cs="宋体"/>
          <w:color w:val="auto"/>
          <w:spacing w:val="-66"/>
          <w:sz w:val="18"/>
          <w:szCs w:val="18"/>
          <w:highlight w:val="none"/>
        </w:rPr>
        <w:t xml:space="preserve"> </w:t>
      </w:r>
      <w:r>
        <w:rPr>
          <w:rFonts w:hint="eastAsia" w:ascii="宋体" w:hAnsi="宋体" w:cs="宋体"/>
          <w:color w:val="auto"/>
          <w:spacing w:val="-1"/>
          <w:sz w:val="18"/>
          <w:szCs w:val="18"/>
          <w:highlight w:val="none"/>
        </w:rPr>
        <w:t xml:space="preserve">”。</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sectPr>
          <w:footerReference w:type="default" r:id="rId21"/>
          <w:footnotePr/>
          <w:endnotePr/>
          <w:type w:val="nextPage"/>
          <w:pgSz w:w="16838" w:h="11906" w:orient="landscape"/>
          <w:pgMar w:top="1417" w:right="1440" w:bottom="1417" w:left="1134" w:header="851" w:footer="850" w:gutter="0"/>
          <w:cols w:num="1" w:sep="0" w:space="0" w:equalWidth="1"/>
          <w:docGrid w:linePitch="360"/>
        </w:sectPr>
      </w:pPr>
      <w:r>
        <w:rPr>
          <w:rFonts w:hint="eastAsia" w:ascii="宋体" w:hAnsi="宋体" w:cs="宋体"/>
          <w:color w:val="auto"/>
          <w:highlight w:val="none"/>
        </w:rPr>
        <w:br w:type="page" w:clear="all"/>
      </w:r>
      <w:r/>
    </w:p>
    <w:p>
      <w:pPr>
        <w:pStyle w:val="1089"/>
        <w:rPr>
          <w:rFonts w:hint="eastAsia" w:ascii="宋体" w:hAnsi="宋体" w:cs="宋体"/>
          <w:color w:val="auto"/>
          <w:highlight w:val="none"/>
        </w:rPr>
      </w:pPr>
      <w:r>
        <w:rPr>
          <w:rFonts w:hint="eastAsia" w:ascii="宋体" w:hAnsi="宋体" w:cs="宋体"/>
          <w:color w:val="auto"/>
          <w:highlight w:val="none"/>
        </w:rPr>
        <w:t xml:space="preserve">六、响应文件格式</w:t>
      </w:r>
      <w:bookmarkEnd w:id="50"/>
      <w:r/>
      <w:bookmarkEnd w:id="74"/>
      <w:r/>
      <w:r/>
    </w:p>
    <w:p>
      <w:pPr>
        <w:pStyle w:val="1117"/>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pStyle w:val="111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对本章所有的格式 ，供应商可根据自身情况进行补充和修改，但补充和修改不得造成与本格式内容有实质性的违背。</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Cs w:val="21"/>
          <w:highlight w:val="none"/>
        </w:rPr>
      </w:pPr>
      <w:r/>
      <w:bookmarkStart w:id="75" w:name="_Toc21635"/>
      <w:r/>
      <w:bookmarkStart w:id="76" w:name="_Toc20788"/>
      <w:r/>
      <w:bookmarkStart w:id="77" w:name="_Toc1865"/>
      <w:r/>
      <w:bookmarkStart w:id="78" w:name="_Toc20200"/>
      <w:r/>
      <w:bookmarkStart w:id="79" w:name="_Toc29544"/>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附件1：磋商响应函</w:t>
      </w:r>
      <w:r/>
    </w:p>
    <w:p>
      <w:pPr>
        <w:pStyle w:val="1118"/>
        <w:jc w:val="center"/>
        <w:spacing w:after="100" w:line="400" w:lineRule="exact"/>
        <w:rPr>
          <w:rFonts w:hint="eastAsia" w:hAnsi="宋体" w:cs="宋体"/>
          <w:color w:val="auto"/>
          <w:szCs w:val="21"/>
          <w:highlight w:val="none"/>
        </w:rPr>
      </w:pPr>
      <w:r>
        <w:rPr>
          <w:rFonts w:hint="eastAsia" w:hAnsi="宋体" w:cs="宋体"/>
          <w:b/>
          <w:color w:val="auto"/>
          <w:szCs w:val="21"/>
          <w:highlight w:val="none"/>
        </w:rPr>
        <w:t xml:space="preserve">磋商响应函</w:t>
      </w:r>
      <w:r/>
    </w:p>
    <w:p>
      <w:pPr>
        <w:pStyle w:val="1118"/>
        <w:spacing w:after="100" w:line="400" w:lineRule="exact"/>
        <w:rPr>
          <w:rFonts w:hint="eastAsia" w:hAnsi="宋体" w:cs="宋体"/>
          <w:color w:val="auto"/>
          <w:szCs w:val="21"/>
          <w:highlight w:val="none"/>
        </w:rPr>
      </w:pPr>
      <w:r>
        <w:rPr>
          <w:rFonts w:hint="eastAsia" w:hAnsi="宋体" w:cs="宋体"/>
          <w:color w:val="auto"/>
          <w:szCs w:val="21"/>
          <w:highlight w:val="none"/>
          <w:u w:val="single"/>
        </w:rPr>
        <w:t xml:space="preserve">苏州通宜房地产土地评估咨询有限公司</w:t>
      </w:r>
      <w:r>
        <w:rPr>
          <w:rFonts w:hint="eastAsia" w:hAnsi="宋体" w:cs="宋体"/>
          <w:color w:val="auto"/>
          <w:szCs w:val="21"/>
          <w:highlight w:val="none"/>
        </w:rPr>
        <w:t xml:space="preserve">： </w:t>
      </w:r>
      <w:r/>
    </w:p>
    <w:p>
      <w:pPr>
        <w:pStyle w:val="1119"/>
        <w:ind w:firstLine="420"/>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我们收到贵公司</w:t>
      </w:r>
      <w:r>
        <w:rPr>
          <w:rFonts w:hint="eastAsia" w:hAnsi="宋体" w:eastAsia="宋体" w:cs="宋体"/>
          <w:color w:val="auto"/>
          <w:sz w:val="21"/>
          <w:szCs w:val="21"/>
          <w:highlight w:val="none"/>
          <w:u w:val="single"/>
          <w:lang w:eastAsia="zh-CN"/>
        </w:rPr>
        <w:t xml:space="preserve">JSZC-320509-SZTY-C2025-0019</w:t>
      </w:r>
      <w:r>
        <w:rPr>
          <w:rFonts w:hint="eastAsia" w:hAnsi="宋体" w:eastAsia="宋体" w:cs="宋体"/>
          <w:color w:val="auto"/>
          <w:sz w:val="21"/>
          <w:szCs w:val="21"/>
          <w:highlight w:val="none"/>
        </w:rPr>
        <w:t xml:space="preserve">号磋商采购文件，经仔细阅读和研究，我们决定参加磋商活动。</w:t>
      </w:r>
      <w:r/>
    </w:p>
    <w:p>
      <w:pPr>
        <w:pStyle w:val="1119"/>
        <w:ind w:firstLine="420"/>
        <w:spacing w:after="100" w:line="400" w:lineRule="exact"/>
        <w:rPr>
          <w:rFonts w:hint="eastAsia" w:hAnsi="宋体" w:eastAsia="宋体" w:cs="宋体"/>
          <w:b/>
          <w:color w:val="auto"/>
          <w:sz w:val="21"/>
          <w:szCs w:val="21"/>
          <w:highlight w:val="none"/>
        </w:rPr>
      </w:pPr>
      <w:r>
        <w:rPr>
          <w:rFonts w:hint="eastAsia" w:hAnsi="宋体" w:eastAsia="宋体" w:cs="宋体"/>
          <w:color w:val="auto"/>
          <w:sz w:val="21"/>
          <w:szCs w:val="21"/>
          <w:highlight w:val="none"/>
        </w:rPr>
        <w:t xml:space="preserve">1、我们愿意按照磋商采购文件的一切要求，完成该项目的全部内容。</w:t>
      </w:r>
      <w:r/>
    </w:p>
    <w:p>
      <w:pPr>
        <w:pStyle w:val="1119"/>
        <w:ind w:firstLine="420"/>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2、如果我们的磋商响应文件被接受，我们将严格履行磋商采购文件中规定的每一项要求，按期、按质、按量履行合同的义务。</w:t>
      </w:r>
      <w:r/>
    </w:p>
    <w:p>
      <w:pPr>
        <w:pStyle w:val="1119"/>
        <w:ind w:firstLine="420"/>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3、我们已详细阅读全部磋商采购文件，包括更正公告(如有)，对磋商采购文件及更正公告(如有)无任何异议。我们完全理解并同意放弃对这方面有不明及误解的权利。</w:t>
      </w:r>
      <w:r/>
    </w:p>
    <w:p>
      <w:pPr>
        <w:pStyle w:val="1119"/>
        <w:ind w:firstLine="420"/>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4、我们同意按磋商采购文件中的规定，本响应文件的有效期限自提交响应文件截止时间之日起</w:t>
      </w:r>
      <w:r>
        <w:rPr>
          <w:rFonts w:hint="eastAsia" w:hAnsi="宋体" w:eastAsia="宋体" w:cs="宋体"/>
          <w:color w:val="auto"/>
          <w:sz w:val="21"/>
          <w:szCs w:val="21"/>
          <w:highlight w:val="none"/>
          <w:u w:val="single"/>
          <w:lang w:val="en-US" w:eastAsia="zh-CN"/>
        </w:rPr>
        <w:t xml:space="preserve">90</w:t>
      </w:r>
      <w:r>
        <w:rPr>
          <w:rFonts w:hint="eastAsia" w:hAnsi="宋体" w:eastAsia="宋体" w:cs="宋体"/>
          <w:color w:val="auto"/>
          <w:sz w:val="21"/>
          <w:szCs w:val="21"/>
          <w:highlight w:val="none"/>
        </w:rPr>
        <w:t xml:space="preserve">天。</w:t>
      </w:r>
      <w:r/>
    </w:p>
    <w:p>
      <w:pPr>
        <w:pStyle w:val="1119"/>
        <w:ind w:firstLine="420"/>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5、我们愿意提供采购单位在磋商采购文件中要求的所有资料。</w:t>
      </w:r>
      <w:r/>
    </w:p>
    <w:p>
      <w:pPr>
        <w:pStyle w:val="1119"/>
        <w:ind w:firstLine="420"/>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6、我们愿意遵守磋商采购文件中所列的收费标准。</w:t>
      </w:r>
      <w:r/>
    </w:p>
    <w:p>
      <w:pPr>
        <w:pStyle w:val="1119"/>
        <w:ind w:firstLine="420"/>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7、我们承诺该响应文件在磋商开始后的全过程中保持有效，不作任何更改和变动。</w:t>
      </w:r>
      <w:r/>
    </w:p>
    <w:p>
      <w:pPr>
        <w:pStyle w:val="1119"/>
        <w:ind w:firstLine="420"/>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8、我们承诺我公司符合磋商采购文件供应商须知中“合格供应商资格条件”的要求，若与真实情况不符，本公司愿意承担由此而产生的一切后果。</w:t>
      </w:r>
      <w:r/>
    </w:p>
    <w:p>
      <w:pPr>
        <w:pStyle w:val="1119"/>
        <w:ind w:firstLine="420"/>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所有有关磋商采购文件的函电，请按下列地址联系：</w:t>
      </w:r>
      <w:r/>
    </w:p>
    <w:p>
      <w:pPr>
        <w:pStyle w:val="1119"/>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单位：                             联系人：</w:t>
      </w:r>
      <w:r/>
    </w:p>
    <w:p>
      <w:pPr>
        <w:pStyle w:val="1119"/>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地址：                             邮政编码：</w:t>
      </w:r>
      <w:r/>
    </w:p>
    <w:p>
      <w:pPr>
        <w:pStyle w:val="1119"/>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联系电话：                         传真：</w:t>
      </w:r>
      <w:r/>
    </w:p>
    <w:p>
      <w:pPr>
        <w:pStyle w:val="1119"/>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磋商响应单位：（公章）</w:t>
      </w:r>
      <w:r/>
    </w:p>
    <w:p>
      <w:pPr>
        <w:pStyle w:val="1119"/>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法定代表人或代理人：（签字或盖章）</w:t>
      </w:r>
      <w:r/>
    </w:p>
    <w:p>
      <w:pPr>
        <w:pStyle w:val="1119"/>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pStyle w:val="1111"/>
        <w:ind w:firstLine="0"/>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1111"/>
        <w:ind w:firstLine="0"/>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1111"/>
        <w:ind w:firstLine="0"/>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1111"/>
        <w:ind w:firstLine="0"/>
        <w:pageBreakBefore/>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附件2：（磋商响应单位）法定代表人授权委托书</w:t>
      </w:r>
      <w:r/>
    </w:p>
    <w:p>
      <w:pPr>
        <w:pStyle w:val="1111"/>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111"/>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法定代表人授权委托书</w:t>
      </w:r>
      <w:r/>
    </w:p>
    <w:p>
      <w:pPr>
        <w:pStyle w:val="1111"/>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111"/>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11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本授权委托书声明：  我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（姓名）系</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（磋商响应单位名称）的法定代表人，现授权委托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（姓名）为我公司委托代理人，以本公司的名义参加苏州通宜房地产土地评估咨询有限公司组织实施的编号为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号的磋商采购活动。委托代理人在报名、制作磋商响应文件、磋商、评标、合同磋商过程中所签署的一切文件和处理与这有关的一切事务，我均予以承认。</w:t>
      </w:r>
      <w:r/>
    </w:p>
    <w:p>
      <w:pPr>
        <w:pStyle w:val="111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p>
    <w:p>
      <w:pPr>
        <w:pStyle w:val="1111"/>
        <w:ind w:firstLine="5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委托代理人无转委托权。特此委托。</w:t>
      </w:r>
      <w:r/>
    </w:p>
    <w:p>
      <w:pPr>
        <w:pStyle w:val="1111"/>
        <w:ind w:firstLine="20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111"/>
        <w:ind w:firstLine="20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磋商响应单位：（公章）</w:t>
      </w:r>
      <w:r/>
    </w:p>
    <w:p>
      <w:pPr>
        <w:pStyle w:val="1111"/>
        <w:ind w:firstLine="20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法定代表人：（签字或盖章）</w:t>
      </w:r>
      <w:r/>
    </w:p>
    <w:p>
      <w:pPr>
        <w:pStyle w:val="1111"/>
        <w:ind w:firstLine="20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委托代理人：（签字或盖章）</w:t>
      </w:r>
      <w:r/>
    </w:p>
    <w:p>
      <w:pPr>
        <w:pStyle w:val="1111"/>
        <w:ind w:firstLine="20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ind w:right="480"/>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11"/>
        <w:ind w:firstLine="0"/>
        <w:rPr>
          <w:rFonts w:hint="eastAsia" w:ascii="宋体" w:hAnsi="宋体" w:cs="宋体"/>
          <w:b/>
          <w:bCs/>
          <w:color w:val="auto"/>
          <w:highlight w:val="none"/>
        </w:rPr>
      </w:pPr>
      <w:r>
        <w:rPr>
          <w:rFonts w:hint="eastAsia" w:ascii="宋体" w:hAnsi="宋体" w:cs="宋体"/>
          <w:b/>
          <w:bCs/>
          <w:color w:val="auto"/>
          <w:sz w:val="21"/>
          <w:szCs w:val="21"/>
          <w:highlight w:val="none"/>
        </w:rPr>
        <w:t xml:space="preserve">注：须单位签章、法定代表人签字或盖章、代理人签字或盖章三者齐全，否则该授权委托书无效。</w:t>
      </w:r>
      <w:r/>
    </w:p>
    <w:p>
      <w:pPr>
        <w:pStyle w:val="1111"/>
        <w:ind w:firstLine="0"/>
        <w:pageBreakBefore/>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附件3：磋商响应报价表</w:t>
      </w:r>
      <w:r/>
    </w:p>
    <w:p>
      <w:pPr>
        <w:pStyle w:val="1118"/>
        <w:spacing w:line="380" w:lineRule="exact"/>
        <w:rPr>
          <w:rFonts w:hint="eastAsia" w:hAnsi="宋体" w:cs="宋体"/>
          <w:b/>
          <w:color w:val="auto"/>
          <w:szCs w:val="21"/>
          <w:highlight w:val="none"/>
        </w:rPr>
      </w:pPr>
      <w:r>
        <w:rPr>
          <w:rFonts w:hint="eastAsia" w:hAnsi="宋体" w:cs="宋体"/>
          <w:b/>
          <w:color w:val="auto"/>
          <w:szCs w:val="21"/>
          <w:highlight w:val="none"/>
        </w:rPr>
      </w:r>
      <w:r/>
    </w:p>
    <w:p>
      <w:pPr>
        <w:pStyle w:val="1119"/>
        <w:jc w:val="center"/>
        <w:spacing w:after="100" w:line="400" w:lineRule="exact"/>
        <w:rPr>
          <w:rFonts w:hint="eastAsia" w:hAnsi="宋体" w:eastAsia="宋体" w:cs="宋体"/>
          <w:color w:val="auto"/>
          <w:sz w:val="21"/>
          <w:szCs w:val="21"/>
          <w:highlight w:val="none"/>
        </w:rPr>
      </w:pPr>
      <w:r>
        <w:rPr>
          <w:rFonts w:hint="eastAsia" w:hAnsi="宋体" w:eastAsia="宋体" w:cs="宋体"/>
          <w:b/>
          <w:color w:val="auto"/>
          <w:sz w:val="21"/>
          <w:szCs w:val="21"/>
          <w:highlight w:val="none"/>
        </w:rPr>
        <w:t xml:space="preserve">磋商响应报价表</w:t>
      </w:r>
      <w:r>
        <w:rPr>
          <w:rStyle w:val="1120"/>
          <w:rFonts w:hint="eastAsia" w:ascii="宋体" w:hAnsi="宋体" w:cs="宋体"/>
          <w:b/>
          <w:color w:val="auto"/>
          <w:highlight w:val="none"/>
        </w:rPr>
        <w:t xml:space="preserve">（第一次报价）</w:t>
      </w:r>
      <w:r>
        <w:rPr>
          <w:rFonts w:hint="eastAsia" w:hAnsi="宋体" w:eastAsia="宋体" w:cs="宋体"/>
          <w:b/>
          <w:color w:val="auto"/>
          <w:sz w:val="21"/>
          <w:szCs w:val="21"/>
          <w:highlight w:val="none"/>
        </w:rPr>
        <w:t xml:space="preserve"> </w:t>
      </w:r>
      <w:r>
        <w:rPr>
          <w:rFonts w:hint="eastAsia" w:hAnsi="宋体" w:eastAsia="宋体" w:cs="宋体"/>
          <w:color w:val="auto"/>
          <w:spacing w:val="20"/>
          <w:sz w:val="21"/>
          <w:szCs w:val="21"/>
          <w:highlight w:val="none"/>
        </w:rPr>
        <w:t xml:space="preserve">               </w:t>
      </w:r>
      <w:r/>
    </w:p>
    <w:p>
      <w:pPr>
        <w:pStyle w:val="1119"/>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119"/>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项目编号：</w:t>
      </w:r>
      <w:r>
        <w:rPr>
          <w:rFonts w:hint="eastAsia" w:hAnsi="宋体" w:eastAsia="宋体" w:cs="宋体"/>
          <w:color w:val="auto"/>
          <w:sz w:val="21"/>
          <w:szCs w:val="21"/>
          <w:highlight w:val="none"/>
          <w:lang w:eastAsia="zh-CN"/>
        </w:rPr>
        <w:t xml:space="preserve">JSZC-320509-SZTY-C2025-0019</w:t>
      </w:r>
      <w:r>
        <w:rPr>
          <w:rFonts w:hint="eastAsia" w:hAnsi="宋体" w:eastAsia="宋体" w:cs="宋体"/>
          <w:color w:val="auto"/>
          <w:sz w:val="21"/>
          <w:szCs w:val="21"/>
          <w:highlight w:val="none"/>
        </w:rPr>
        <w:t xml:space="preserve">                        </w:t>
      </w:r>
      <w:r/>
    </w:p>
    <w:p>
      <w:pPr>
        <w:pStyle w:val="1119"/>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项目名称：汾湖高新区2026年两河两湖水面长效管护项目                                             </w:t>
      </w:r>
      <w:r/>
    </w:p>
    <w:tbl>
      <w:tblPr>
        <w:tblStyle w:val="1092"/>
        <w:tblW w:w="93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2508"/>
        <w:gridCol w:w="2409"/>
        <w:gridCol w:w="2552"/>
        <w:gridCol w:w="992"/>
      </w:tblGrid>
      <w:tr>
        <w:trPr>
          <w:trHeight w:val="647"/>
        </w:trPr>
        <w:tc>
          <w:tcPr>
            <w:tcW w:w="861" w:type="dxa"/>
            <w:textDirection w:val="lrTb"/>
            <w:noWrap w:val="false"/>
          </w:tcPr>
          <w:p>
            <w:pPr>
              <w:pStyle w:val="1119"/>
              <w:jc w:val="center"/>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2508" w:type="dxa"/>
            <w:textDirection w:val="lrTb"/>
            <w:noWrap w:val="false"/>
          </w:tcPr>
          <w:p>
            <w:pPr>
              <w:pStyle w:val="1119"/>
              <w:jc w:val="center"/>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项   目</w:t>
            </w:r>
            <w:r/>
          </w:p>
        </w:tc>
        <w:tc>
          <w:tcPr>
            <w:tcW w:w="2409" w:type="dxa"/>
            <w:textDirection w:val="lrTb"/>
            <w:noWrap w:val="false"/>
          </w:tcPr>
          <w:p>
            <w:pPr>
              <w:pStyle w:val="1119"/>
              <w:jc w:val="center"/>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投标报价（元）</w:t>
            </w:r>
            <w:r/>
          </w:p>
        </w:tc>
        <w:tc>
          <w:tcPr>
            <w:tcW w:w="2552" w:type="dxa"/>
            <w:textDirection w:val="lrTb"/>
            <w:noWrap w:val="false"/>
          </w:tcPr>
          <w:p>
            <w:pPr>
              <w:pStyle w:val="1119"/>
              <w:jc w:val="center"/>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服务期限</w:t>
            </w:r>
            <w:r/>
          </w:p>
        </w:tc>
        <w:tc>
          <w:tcPr>
            <w:tcW w:w="992" w:type="dxa"/>
            <w:textDirection w:val="lrTb"/>
            <w:noWrap w:val="false"/>
          </w:tcPr>
          <w:p>
            <w:pPr>
              <w:pStyle w:val="1119"/>
              <w:jc w:val="center"/>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trHeight w:val="591"/>
        </w:trPr>
        <w:tc>
          <w:tcPr>
            <w:tcW w:w="861" w:type="dxa"/>
            <w:vAlign w:val="center"/>
            <w:textDirection w:val="lrTb"/>
            <w:noWrap w:val="false"/>
          </w:tcPr>
          <w:p>
            <w:pPr>
              <w:pStyle w:val="1119"/>
              <w:jc w:val="center"/>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W w:w="2508" w:type="dxa"/>
            <w:textDirection w:val="lrTb"/>
            <w:noWrap w:val="false"/>
          </w:tcPr>
          <w:p>
            <w:pPr>
              <w:pStyle w:val="1119"/>
              <w:jc w:val="center"/>
              <w:spacing w:after="100"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汾湖高新区2026年两河两湖水面长效管护项目</w:t>
            </w:r>
            <w:r/>
          </w:p>
        </w:tc>
        <w:tc>
          <w:tcPr>
            <w:tcW w:w="2409" w:type="dxa"/>
            <w:vAlign w:val="center"/>
            <w:textDirection w:val="lrTb"/>
            <w:noWrap w:val="false"/>
          </w:tcPr>
          <w:p>
            <w:pPr>
              <w:pStyle w:val="1119"/>
              <w:jc w:val="center"/>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552" w:type="dxa"/>
            <w:vAlign w:val="center"/>
            <w:textDirection w:val="lrTb"/>
            <w:noWrap w:val="false"/>
          </w:tcPr>
          <w:p>
            <w:pPr>
              <w:pStyle w:val="1119"/>
              <w:jc w:val="center"/>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992" w:type="dxa"/>
            <w:vAlign w:val="center"/>
            <w:textDirection w:val="lrTb"/>
            <w:noWrap w:val="false"/>
          </w:tcPr>
          <w:p>
            <w:pPr>
              <w:pStyle w:val="1119"/>
              <w:jc w:val="center"/>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737"/>
        </w:trPr>
        <w:tc>
          <w:tcPr>
            <w:gridSpan w:val="5"/>
            <w:tcW w:w="9322" w:type="dxa"/>
            <w:vAlign w:val="center"/>
            <w:textDirection w:val="lrTb"/>
            <w:noWrap w:val="false"/>
          </w:tcPr>
          <w:p>
            <w:pPr>
              <w:pStyle w:val="1119"/>
              <w:jc w:val="center"/>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合计（人民币）大写金额：                       小写金额：（</w:t>
            </w:r>
            <w:r>
              <w:rPr>
                <w:rFonts w:hint="eastAsia" w:hAnsi="宋体" w:eastAsia="宋体" w:cs="宋体"/>
                <w:color w:val="auto"/>
                <w:spacing w:val="20"/>
                <w:sz w:val="21"/>
                <w:szCs w:val="21"/>
                <w:highlight w:val="none"/>
              </w:rPr>
              <w:t xml:space="preserve">￥：    ）</w:t>
            </w:r>
            <w:r/>
          </w:p>
        </w:tc>
      </w:tr>
      <w:tr>
        <w:trPr>
          <w:trHeight w:val="737"/>
        </w:trPr>
        <w:tc>
          <w:tcPr>
            <w:gridSpan w:val="5"/>
            <w:tcW w:w="932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是否小微企业  : □小型      □微型     □否</w:t>
            </w:r>
            <w:r/>
          </w:p>
          <w:p>
            <w:pPr>
              <w:pStyle w:val="1119"/>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是否残疾人或监狱企业：□小型     □微型     □否</w:t>
            </w:r>
            <w:r/>
          </w:p>
        </w:tc>
      </w:tr>
    </w:tbl>
    <w:p>
      <w:pPr>
        <w:pStyle w:val="1119"/>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119"/>
        <w:ind w:firstLine="210"/>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磋商响应单位：（公章）</w:t>
      </w:r>
      <w:r/>
    </w:p>
    <w:p>
      <w:pPr>
        <w:pStyle w:val="1119"/>
        <w:ind w:firstLine="210"/>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法定代表人或代理人：（签字或盖章）</w:t>
      </w:r>
      <w:r/>
    </w:p>
    <w:p>
      <w:pPr>
        <w:pStyle w:val="1119"/>
        <w:ind w:firstLine="210"/>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pStyle w:val="1119"/>
        <w:ind w:firstLine="210"/>
        <w:spacing w:after="100"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ind w:firstLine="420"/>
        <w:spacing w:after="100"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注：本表中的报价为综合报价，</w:t>
      </w:r>
      <w:r>
        <w:rPr>
          <w:rFonts w:hint="eastAsia" w:ascii="宋体" w:hAnsi="宋体" w:cs="宋体"/>
          <w:color w:val="auto"/>
          <w:sz w:val="21"/>
          <w:szCs w:val="21"/>
          <w:highlight w:val="none"/>
        </w:rPr>
        <w:t xml:space="preserve">包括完成本项工作</w:t>
      </w:r>
      <w:r>
        <w:rPr>
          <w:rFonts w:hint="eastAsia" w:ascii="宋体" w:hAnsi="宋体" w:cs="宋体"/>
          <w:color w:val="auto"/>
          <w:sz w:val="21"/>
          <w:szCs w:val="21"/>
          <w:highlight w:val="none"/>
          <w:lang w:val="en-US" w:eastAsia="zh-CN"/>
        </w:rPr>
        <w:t xml:space="preserve">相应服务期内</w:t>
      </w:r>
      <w:r>
        <w:rPr>
          <w:rFonts w:hint="eastAsia" w:ascii="宋体" w:hAnsi="宋体" w:cs="宋体"/>
          <w:color w:val="auto"/>
          <w:sz w:val="21"/>
          <w:szCs w:val="21"/>
          <w:highlight w:val="none"/>
        </w:rPr>
        <w:t xml:space="preserve">所需的人工费【包括人员工资、加班费、福利费、奖金、社保（非超龄人员）</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人身意外伤害险等，具体按照采购文件的规定】以及从事服务的相关工具、设备使用费以及在从事该劳动过程中发生的一切费用，报价中还包括耗材、劳保、各种税费、政策性文件规定及合同包含的所有风险、责任</w:t>
      </w:r>
      <w:r>
        <w:rPr>
          <w:rFonts w:hint="eastAsia" w:ascii="宋体" w:hAnsi="宋体" w:cs="宋体"/>
          <w:color w:val="auto"/>
          <w:szCs w:val="21"/>
          <w:highlight w:val="none"/>
        </w:rPr>
        <w:t xml:space="preserve">以及台风、暴雨、干旱、大雪、冻害等天气因素发生突击服务等一切费用</w:t>
      </w:r>
      <w:r>
        <w:rPr>
          <w:rFonts w:hint="eastAsia" w:ascii="宋体" w:hAnsi="宋体" w:cs="宋体"/>
          <w:color w:val="auto"/>
          <w:szCs w:val="21"/>
          <w:highlight w:val="none"/>
          <w:lang w:eastAsia="zh-CN"/>
        </w:rPr>
        <w:t xml:space="preserve">。</w:t>
      </w:r>
      <w:r/>
    </w:p>
    <w:p>
      <w:pPr>
        <w:pStyle w:val="1111"/>
        <w:ind w:firstLine="0"/>
        <w:pageBreakBefore/>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附件4：磋商响应报价分项报价表</w:t>
      </w:r>
      <w:r/>
    </w:p>
    <w:p>
      <w:pPr>
        <w:pStyle w:val="1121"/>
        <w:jc w:val="center"/>
        <w:spacing w:line="440" w:lineRule="exact"/>
        <w:rPr>
          <w:rFonts w:hAnsi="宋体" w:eastAsia="宋体" w:cs="宋体"/>
          <w:b/>
          <w:color w:val="auto"/>
          <w:sz w:val="32"/>
          <w:szCs w:val="32"/>
          <w:highlight w:val="none"/>
          <w:lang w:val="zh-CN"/>
        </w:rPr>
      </w:pPr>
      <w:r>
        <w:rPr>
          <w:rFonts w:hint="eastAsia" w:hAnsi="宋体" w:eastAsia="宋体" w:cs="Times New Roman"/>
          <w:b/>
          <w:color w:val="auto"/>
          <w:sz w:val="21"/>
          <w:szCs w:val="21"/>
          <w:highlight w:val="none"/>
          <w:lang w:val="en-US" w:eastAsia="zh-CN"/>
        </w:rPr>
        <w:t xml:space="preserve">磋商</w:t>
      </w:r>
      <w:r>
        <w:rPr>
          <w:rFonts w:hint="eastAsia" w:ascii="宋体" w:hAnsi="宋体" w:eastAsia="宋体" w:cs="Times New Roman"/>
          <w:b/>
          <w:color w:val="auto"/>
          <w:sz w:val="21"/>
          <w:szCs w:val="21"/>
          <w:highlight w:val="none"/>
          <w:lang w:val="zh-CN" w:eastAsia="zh-CN"/>
        </w:rPr>
        <w:t xml:space="preserve">报价分析表</w:t>
      </w:r>
      <w:r/>
    </w:p>
    <w:p>
      <w:pPr>
        <w:pStyle w:val="1121"/>
        <w:jc w:val="center"/>
        <w:spacing w:line="440" w:lineRule="exact"/>
        <w:rPr>
          <w:rFonts w:hint="eastAsia" w:hAnsi="宋体" w:eastAsia="宋体" w:cs="宋体"/>
          <w:bCs/>
          <w:color w:val="auto"/>
          <w:sz w:val="21"/>
          <w:szCs w:val="21"/>
          <w:highlight w:val="none"/>
        </w:rPr>
      </w:pPr>
      <w:r>
        <w:rPr>
          <w:rFonts w:hint="eastAsia" w:hAnsi="宋体" w:eastAsia="宋体" w:cs="宋体"/>
          <w:bCs/>
          <w:color w:val="auto"/>
          <w:sz w:val="21"/>
          <w:szCs w:val="21"/>
          <w:highlight w:val="none"/>
        </w:rPr>
        <w:t xml:space="preserve">（综合单价）</w:t>
      </w:r>
      <w:r/>
    </w:p>
    <w:p>
      <w:pPr>
        <w:pStyle w:val="1121"/>
        <w:jc w:val="center"/>
        <w:spacing w:line="440" w:lineRule="exact"/>
        <w:rPr>
          <w:rFonts w:hint="eastAsia" w:hAnsi="宋体" w:eastAsia="宋体" w:cs="宋体"/>
          <w:bCs/>
          <w:color w:val="auto"/>
          <w:sz w:val="21"/>
          <w:szCs w:val="21"/>
          <w:highlight w:val="none"/>
        </w:rPr>
      </w:pPr>
      <w:r>
        <w:rPr>
          <w:rFonts w:hint="eastAsia" w:hAnsi="宋体" w:eastAsia="宋体" w:cs="宋体"/>
          <w:bCs/>
          <w:color w:val="auto"/>
          <w:sz w:val="21"/>
          <w:szCs w:val="21"/>
          <w:highlight w:val="none"/>
        </w:rPr>
      </w:r>
      <w:r/>
    </w:p>
    <w:p>
      <w:pPr>
        <w:pStyle w:val="1117"/>
        <w:spacing w:line="440" w:lineRule="exact"/>
        <w:tabs>
          <w:tab w:val="left" w:pos="70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JSZC-320509-SZTY-C2025-0019</w:t>
      </w:r>
      <w:r>
        <w:rPr>
          <w:rFonts w:hint="eastAsia" w:ascii="宋体" w:hAnsi="宋体" w:eastAsia="宋体" w:cs="宋体"/>
          <w:color w:val="auto"/>
          <w:sz w:val="21"/>
          <w:szCs w:val="21"/>
          <w:highlight w:val="none"/>
        </w:rPr>
        <w:t xml:space="preserve">                        </w:t>
      </w:r>
      <w:r/>
    </w:p>
    <w:p>
      <w:pPr>
        <w:pStyle w:val="1117"/>
        <w:spacing w:line="440" w:lineRule="exact"/>
        <w:tabs>
          <w:tab w:val="left" w:pos="70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项目名称：汾湖高新区2026年两河两湖水面长效管护项目    </w:t>
      </w:r>
      <w:r/>
    </w:p>
    <w:tbl>
      <w:tblPr>
        <w:tblStyle w:val="1092"/>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1"/>
        <w:gridCol w:w="1601"/>
        <w:gridCol w:w="861"/>
        <w:gridCol w:w="1483"/>
        <w:gridCol w:w="2112"/>
        <w:gridCol w:w="1894"/>
      </w:tblGrid>
      <w:tr>
        <w:trPr>
          <w:cantSplit/>
          <w:trHeight w:val="503"/>
        </w:trPr>
        <w:tc>
          <w:tcPr>
            <w:tcW w:w="573" w:type="dxa"/>
            <w:vAlign w:val="center"/>
            <w:textDirection w:val="lrTb"/>
            <w:noWrap w:val="false"/>
          </w:tcPr>
          <w:p>
            <w:pPr>
              <w:pStyle w:val="1117"/>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891" w:type="dxa"/>
            <w:vAlign w:val="center"/>
            <w:textDirection w:val="lrTb"/>
            <w:noWrap w:val="false"/>
          </w:tcPr>
          <w:p>
            <w:pPr>
              <w:pStyle w:val="1117"/>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岗位名称</w:t>
            </w:r>
            <w:r/>
          </w:p>
        </w:tc>
        <w:tc>
          <w:tcPr>
            <w:tcW w:w="479" w:type="dxa"/>
            <w:vAlign w:val="center"/>
            <w:textDirection w:val="lrTb"/>
            <w:noWrap w:val="false"/>
          </w:tcPr>
          <w:p>
            <w:pPr>
              <w:pStyle w:val="1117"/>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人数</w:t>
            </w:r>
            <w:r/>
          </w:p>
        </w:tc>
        <w:tc>
          <w:tcPr>
            <w:tcW w:w="825" w:type="dxa"/>
            <w:vAlign w:val="center"/>
            <w:textDirection w:val="lrTb"/>
            <w:noWrap w:val="false"/>
          </w:tcPr>
          <w:p>
            <w:pPr>
              <w:pStyle w:val="1117"/>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综合单价（元/人×月）</w:t>
            </w:r>
            <w:r/>
          </w:p>
        </w:tc>
        <w:tc>
          <w:tcPr>
            <w:tcW w:w="1175" w:type="dxa"/>
            <w:vAlign w:val="center"/>
            <w:textDirection w:val="lrTb"/>
            <w:noWrap w:val="false"/>
          </w:tcPr>
          <w:p>
            <w:pPr>
              <w:pStyle w:val="1117"/>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响应总价（人数×综合单价×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w:t>
            </w:r>
            <w:r/>
          </w:p>
        </w:tc>
        <w:tc>
          <w:tcPr>
            <w:tcW w:w="1054" w:type="dxa"/>
            <w:vAlign w:val="center"/>
            <w:textDirection w:val="lrTb"/>
            <w:noWrap w:val="false"/>
          </w:tcPr>
          <w:p>
            <w:pPr>
              <w:pStyle w:val="1117"/>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服务时间</w:t>
            </w:r>
            <w:r/>
          </w:p>
        </w:tc>
      </w:tr>
      <w:tr>
        <w:trPr>
          <w:cantSplit/>
          <w:trHeight w:val="427"/>
        </w:trPr>
        <w:tc>
          <w:tcPr>
            <w:tcW w:w="573" w:type="dxa"/>
            <w:vAlign w:val="center"/>
            <w:textDirection w:val="lrTb"/>
            <w:noWrap w:val="false"/>
          </w:tcPr>
          <w:p>
            <w:pPr>
              <w:pStyle w:val="1117"/>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891" w:type="dxa"/>
            <w:vAlign w:val="center"/>
            <w:textDirection w:val="lrTb"/>
            <w:noWrap w:val="false"/>
          </w:tcPr>
          <w:p>
            <w:pPr>
              <w:pStyle w:val="1117"/>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人员工资</w:t>
            </w:r>
            <w:r/>
          </w:p>
        </w:tc>
        <w:tc>
          <w:tcPr>
            <w:tcW w:w="479"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393"/>
        </w:trPr>
        <w:tc>
          <w:tcPr>
            <w:tcW w:w="573" w:type="dxa"/>
            <w:vAlign w:val="center"/>
            <w:textDirection w:val="lrTb"/>
            <w:noWrap w:val="false"/>
          </w:tcPr>
          <w:p>
            <w:pPr>
              <w:pStyle w:val="1117"/>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891" w:type="dxa"/>
            <w:vAlign w:val="center"/>
            <w:textDirection w:val="lrTb"/>
            <w:noWrap w:val="false"/>
          </w:tcPr>
          <w:p>
            <w:pPr>
              <w:pStyle w:val="1117"/>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人员社保</w:t>
            </w:r>
            <w:r/>
          </w:p>
        </w:tc>
        <w:tc>
          <w:tcPr>
            <w:tcW w:w="479"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43"/>
        </w:trPr>
        <w:tc>
          <w:tcPr>
            <w:tcW w:w="573" w:type="dxa"/>
            <w:vAlign w:val="center"/>
            <w:textDirection w:val="lrTb"/>
            <w:noWrap w:val="false"/>
          </w:tcPr>
          <w:p>
            <w:pPr>
              <w:pStyle w:val="1117"/>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891" w:type="dxa"/>
            <w:vAlign w:val="center"/>
            <w:textDirection w:val="lrTb"/>
            <w:noWrap w:val="false"/>
          </w:tcPr>
          <w:p>
            <w:pPr>
              <w:pStyle w:val="1117"/>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高温费</w:t>
            </w:r>
            <w:r/>
          </w:p>
        </w:tc>
        <w:tc>
          <w:tcPr>
            <w:tcW w:w="479"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43"/>
        </w:trPr>
        <w:tc>
          <w:tcPr>
            <w:tcW w:w="573" w:type="dxa"/>
            <w:vAlign w:val="center"/>
            <w:textDirection w:val="lrTb"/>
            <w:noWrap w:val="false"/>
          </w:tcPr>
          <w:p>
            <w:pPr>
              <w:pStyle w:val="1117"/>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891" w:type="dxa"/>
            <w:vAlign w:val="center"/>
            <w:textDirection w:val="lrTb"/>
            <w:noWrap w:val="false"/>
          </w:tcPr>
          <w:p>
            <w:pPr>
              <w:pStyle w:val="1117"/>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加班费（国假日、双休日）</w:t>
            </w:r>
            <w:r/>
          </w:p>
        </w:tc>
        <w:tc>
          <w:tcPr>
            <w:tcW w:w="479"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43"/>
        </w:trPr>
        <w:tc>
          <w:tcPr>
            <w:tcW w:w="573" w:type="dxa"/>
            <w:vAlign w:val="center"/>
            <w:textDirection w:val="lrTb"/>
            <w:noWrap w:val="false"/>
          </w:tcPr>
          <w:p>
            <w:pPr>
              <w:pStyle w:val="1117"/>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891" w:type="dxa"/>
            <w:vAlign w:val="center"/>
            <w:textDirection w:val="lrTb"/>
            <w:noWrap w:val="false"/>
          </w:tcPr>
          <w:p>
            <w:pPr>
              <w:pStyle w:val="1117"/>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W w:w="479"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354"/>
        </w:trPr>
        <w:tc>
          <w:tcPr>
            <w:tcW w:w="573" w:type="dxa"/>
            <w:vAlign w:val="center"/>
            <w:textDirection w:val="lrTb"/>
            <w:noWrap w:val="false"/>
          </w:tcPr>
          <w:p>
            <w:pPr>
              <w:pStyle w:val="1117"/>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891" w:type="dxa"/>
            <w:vAlign w:val="center"/>
            <w:textDirection w:val="lrTb"/>
            <w:noWrap w:val="false"/>
          </w:tcPr>
          <w:p>
            <w:pPr>
              <w:pStyle w:val="1117"/>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479"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43"/>
        </w:trPr>
        <w:tc>
          <w:tcPr>
            <w:tcW w:w="573" w:type="dxa"/>
            <w:vAlign w:val="center"/>
            <w:textDirection w:val="lrTb"/>
            <w:noWrap w:val="false"/>
          </w:tcPr>
          <w:p>
            <w:pPr>
              <w:pStyle w:val="1117"/>
              <w:ind w:firstLine="0"/>
              <w:jc w:val="center"/>
              <w:spacing w:line="44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W w:w="891" w:type="dxa"/>
            <w:vAlign w:val="center"/>
            <w:textDirection w:val="lrTb"/>
            <w:noWrap w:val="false"/>
          </w:tcPr>
          <w:p>
            <w:pPr>
              <w:pStyle w:val="1117"/>
              <w:ind w:firstLine="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79"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43"/>
        </w:trPr>
        <w:tc>
          <w:tcPr>
            <w:tcW w:w="573" w:type="dxa"/>
            <w:vAlign w:val="center"/>
            <w:textDirection w:val="lrTb"/>
            <w:noWrap w:val="false"/>
          </w:tcPr>
          <w:p>
            <w:pPr>
              <w:pStyle w:val="1117"/>
              <w:ind w:firstLine="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91" w:type="dxa"/>
            <w:vAlign w:val="center"/>
            <w:textDirection w:val="lrTb"/>
            <w:noWrap w:val="false"/>
          </w:tcPr>
          <w:p>
            <w:pPr>
              <w:pStyle w:val="1117"/>
              <w:ind w:firstLine="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79"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43"/>
        </w:trPr>
        <w:tc>
          <w:tcPr>
            <w:tcW w:w="573" w:type="dxa"/>
            <w:vAlign w:val="center"/>
            <w:textDirection w:val="lrTb"/>
            <w:noWrap w:val="false"/>
          </w:tcPr>
          <w:p>
            <w:pPr>
              <w:pStyle w:val="1117"/>
              <w:ind w:firstLine="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91" w:type="dxa"/>
            <w:vAlign w:val="center"/>
            <w:textDirection w:val="lrTb"/>
            <w:noWrap w:val="false"/>
          </w:tcPr>
          <w:p>
            <w:pPr>
              <w:pStyle w:val="1117"/>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W w:w="479"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117"/>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1119"/>
        <w:spacing w:line="440" w:lineRule="exact"/>
        <w:rPr>
          <w:rFonts w:hAnsi="宋体" w:eastAsia="宋体" w:cs="宋体"/>
          <w:color w:val="auto"/>
          <w:highlight w:val="none"/>
        </w:rPr>
      </w:pPr>
      <w:r>
        <w:rPr>
          <w:rFonts w:hAnsi="宋体" w:eastAsia="宋体" w:cs="宋体"/>
          <w:color w:val="auto"/>
          <w:highlight w:val="none"/>
        </w:rPr>
      </w:r>
      <w:r/>
    </w:p>
    <w:p>
      <w:pPr>
        <w:ind w:firstLine="210"/>
        <w:spacing w:after="100" w:line="400" w:lineRule="exact"/>
        <w:rPr>
          <w:rFonts w:ascii="宋体" w:hAnsi="宋体"/>
          <w:color w:val="auto"/>
          <w:szCs w:val="21"/>
          <w:highlight w:val="none"/>
        </w:rPr>
      </w:pPr>
      <w:r>
        <w:rPr>
          <w:rFonts w:hint="eastAsia" w:ascii="宋体" w:hAnsi="宋体"/>
          <w:color w:val="auto"/>
          <w:szCs w:val="21"/>
          <w:highlight w:val="none"/>
        </w:rPr>
        <w:t xml:space="preserve">磋商响应单位：（公章）</w:t>
      </w:r>
      <w:r/>
    </w:p>
    <w:p>
      <w:pPr>
        <w:ind w:firstLine="210"/>
        <w:spacing w:after="100" w:line="400" w:lineRule="exact"/>
        <w:rPr>
          <w:rFonts w:hAnsi="宋体"/>
          <w:color w:val="auto"/>
          <w:szCs w:val="21"/>
          <w:highlight w:val="none"/>
        </w:rPr>
      </w:pPr>
      <w:r>
        <w:rPr>
          <w:rFonts w:hint="eastAsia" w:hAnsi="宋体"/>
          <w:color w:val="auto"/>
          <w:szCs w:val="21"/>
          <w:highlight w:val="none"/>
        </w:rPr>
        <w:t xml:space="preserve">法定代表人或授权代表：（签字或盖章）                 </w:t>
      </w:r>
      <w:r/>
    </w:p>
    <w:p>
      <w:pPr>
        <w:ind w:firstLine="210"/>
        <w:spacing w:after="100" w:line="400" w:lineRule="exact"/>
        <w:rPr>
          <w:rFonts w:hint="eastAsia" w:hAnsi="宋体"/>
          <w:color w:val="auto"/>
          <w:szCs w:val="21"/>
          <w:highlight w:val="none"/>
        </w:rPr>
      </w:pPr>
      <w:r>
        <w:rPr>
          <w:rFonts w:hint="eastAsia" w:hAnsi="宋体"/>
          <w:color w:val="auto"/>
          <w:szCs w:val="21"/>
          <w:highlight w:val="none"/>
        </w:rPr>
        <w:t xml:space="preserve">日期：</w:t>
      </w:r>
      <w:r>
        <w:rPr>
          <w:rFonts w:hAnsi="宋体"/>
          <w:color w:val="auto"/>
          <w:szCs w:val="21"/>
          <w:highlight w:val="none"/>
        </w:rPr>
        <w:t xml:space="preserve">         </w:t>
      </w:r>
      <w:r>
        <w:rPr>
          <w:rFonts w:hint="eastAsia" w:hAnsi="宋体"/>
          <w:color w:val="auto"/>
          <w:szCs w:val="21"/>
          <w:highlight w:val="none"/>
        </w:rPr>
        <w:t xml:space="preserve">年</w:t>
      </w:r>
      <w:r>
        <w:rPr>
          <w:rFonts w:hAnsi="宋体"/>
          <w:color w:val="auto"/>
          <w:szCs w:val="21"/>
          <w:highlight w:val="none"/>
        </w:rPr>
        <w:t xml:space="preserve">     </w:t>
      </w:r>
      <w:r>
        <w:rPr>
          <w:rFonts w:hint="eastAsia" w:hAnsi="宋体"/>
          <w:color w:val="auto"/>
          <w:szCs w:val="21"/>
          <w:highlight w:val="none"/>
        </w:rPr>
        <w:t xml:space="preserve">月</w:t>
      </w:r>
      <w:r>
        <w:rPr>
          <w:rFonts w:hAnsi="宋体"/>
          <w:color w:val="auto"/>
          <w:szCs w:val="21"/>
          <w:highlight w:val="none"/>
        </w:rPr>
        <w:t xml:space="preserve">    </w:t>
      </w:r>
      <w:r>
        <w:rPr>
          <w:rFonts w:hint="eastAsia" w:hAnsi="宋体"/>
          <w:color w:val="auto"/>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投标</w:t>
      </w:r>
      <w:r>
        <w:rPr>
          <w:rFonts w:hint="eastAsia"/>
          <w:iCs/>
          <w:color w:val="auto"/>
          <w:szCs w:val="21"/>
          <w:highlight w:val="none"/>
          <w:lang w:eastAsia="zh-CN"/>
        </w:rPr>
        <w:t xml:space="preserve">单位</w:t>
      </w:r>
      <w:r>
        <w:rPr>
          <w:rFonts w:hint="eastAsia"/>
          <w:iCs/>
          <w:color w:val="auto"/>
          <w:szCs w:val="21"/>
          <w:highlight w:val="none"/>
        </w:rPr>
        <w:t xml:space="preserve">可</w:t>
      </w:r>
      <w:r>
        <w:rPr>
          <w:rFonts w:hint="eastAsia"/>
          <w:iCs/>
          <w:color w:val="auto"/>
          <w:szCs w:val="21"/>
          <w:highlight w:val="none"/>
          <w:lang w:val="en-US" w:eastAsia="zh-CN"/>
        </w:rPr>
        <w:t xml:space="preserve">参照上述格式</w:t>
      </w:r>
      <w:r>
        <w:rPr>
          <w:rFonts w:hint="eastAsia"/>
          <w:iCs/>
          <w:color w:val="auto"/>
          <w:szCs w:val="21"/>
          <w:highlight w:val="none"/>
        </w:rPr>
        <w:t xml:space="preserve">自行</w:t>
      </w:r>
      <w:r>
        <w:rPr>
          <w:rFonts w:hint="eastAsia"/>
          <w:iCs/>
          <w:color w:val="auto"/>
          <w:szCs w:val="21"/>
          <w:highlight w:val="none"/>
          <w:lang w:val="en-US" w:eastAsia="zh-CN"/>
        </w:rPr>
        <w:t xml:space="preserve">增加类目</w:t>
      </w:r>
      <w:r>
        <w:rPr>
          <w:rFonts w:hint="eastAsia" w:ascii="宋体" w:hAnsi="宋体" w:cs="宋体"/>
          <w:color w:val="auto"/>
          <w:szCs w:val="21"/>
          <w:highlight w:val="none"/>
        </w:rPr>
        <w:t xml:space="preserve">，本项投标总价需与磋商响应报价表投标总价一致。如有出现漏报、错报或未报项,均由</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自行承担，采购单位不再另行支付其他费用。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2、保洁服务单价为保洁服务全费用综合单价，应包括完成该项目内全部内容的保洁服务项目工作所需的人工、</w:t>
      </w:r>
      <w:r>
        <w:rPr>
          <w:rFonts w:hint="eastAsia" w:ascii="宋体" w:hAnsi="宋体" w:cs="宋体"/>
          <w:color w:val="auto"/>
          <w:szCs w:val="21"/>
          <w:highlight w:val="none"/>
          <w:lang w:val="en-US" w:eastAsia="zh-CN"/>
        </w:rPr>
        <w:t xml:space="preserve">加班、</w:t>
      </w:r>
      <w:r>
        <w:rPr>
          <w:rFonts w:hint="eastAsia" w:ascii="宋体" w:hAnsi="宋体" w:cs="宋体"/>
          <w:color w:val="auto"/>
          <w:szCs w:val="21"/>
          <w:highlight w:val="none"/>
        </w:rPr>
        <w:t xml:space="preserve">劳保、材料、机械、耗材、管理、维护、保险、利润、税金、政策性文件规定及合同包含的所有风险、责任以及台风、暴雨、干旱、大雪、冻害等天气因素发生突击服务等一切费用。</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3、本项目人员的月工资标准不得低于苏州市吴江区最低工资标准要求，并按我国《劳动合同法》要求签订劳动合同、非超龄人员按国家规定缴纳相关的社会保险等。</w:t>
      </w:r>
      <w:r>
        <w:rPr>
          <w:rFonts w:hint="eastAsia" w:ascii="宋体" w:hAnsi="宋体" w:cs="宋体"/>
          <w:color w:val="auto"/>
          <w:szCs w:val="21"/>
          <w:highlight w:val="none"/>
        </w:rPr>
        <w:t xml:space="preserve">服务期限内因国家或地方政策性调整产生的费用由</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自行承担，采购单位在服务期限内不再补贴支付额外的费用。</w:t>
      </w:r>
      <w:r>
        <w:rPr>
          <w:rFonts w:hint="eastAsia" w:ascii="宋体" w:hAnsi="宋体" w:cs="宋体"/>
          <w:b/>
          <w:bCs/>
          <w:color w:val="auto"/>
          <w:szCs w:val="21"/>
          <w:highlight w:val="none"/>
        </w:rPr>
        <w:t xml:space="preserve">法定节假日的加班费按国家有关规定费用一并包含在成交价中，未能按以下要求编制</w:t>
      </w:r>
      <w:r>
        <w:rPr>
          <w:rFonts w:hint="eastAsia" w:ascii="宋体" w:hAnsi="宋体" w:cs="宋体"/>
          <w:b/>
          <w:bCs/>
          <w:color w:val="auto"/>
          <w:szCs w:val="21"/>
          <w:highlight w:val="none"/>
          <w:lang w:eastAsia="zh-CN"/>
        </w:rPr>
        <w:t xml:space="preserve">响应文件</w:t>
      </w:r>
      <w:r>
        <w:rPr>
          <w:rFonts w:hint="eastAsia" w:ascii="宋体" w:hAnsi="宋体" w:cs="宋体"/>
          <w:b/>
          <w:bCs/>
          <w:color w:val="auto"/>
          <w:szCs w:val="21"/>
          <w:highlight w:val="none"/>
        </w:rPr>
        <w:t xml:space="preserve">和报价的将做为无效标处理</w:t>
      </w:r>
      <w:r>
        <w:rPr>
          <w:rFonts w:hint="eastAsia" w:ascii="宋体" w:hAnsi="宋体" w:cs="宋体"/>
          <w:color w:val="auto"/>
          <w:szCs w:val="21"/>
          <w:highlight w:val="none"/>
        </w:rPr>
        <w:t xml:space="preserve">：</w:t>
      </w:r>
      <w:r/>
    </w:p>
    <w:p>
      <w:pPr>
        <w:ind w:firstLine="211"/>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（1）投标报价明细表中</w:t>
      </w:r>
      <w:r>
        <w:rPr>
          <w:rFonts w:hint="eastAsia" w:ascii="宋体" w:hAnsi="宋体" w:cs="宋体"/>
          <w:b/>
          <w:bCs/>
          <w:color w:val="auto"/>
          <w:szCs w:val="21"/>
          <w:highlight w:val="none"/>
          <w:lang w:val="en-US" w:eastAsia="zh-CN"/>
        </w:rPr>
        <w:t xml:space="preserve">所有</w:t>
      </w:r>
      <w:r>
        <w:rPr>
          <w:rFonts w:hint="eastAsia" w:ascii="宋体" w:hAnsi="宋体" w:cs="宋体"/>
          <w:b/>
          <w:bCs/>
          <w:color w:val="auto"/>
          <w:szCs w:val="21"/>
          <w:highlight w:val="none"/>
        </w:rPr>
        <w:t xml:space="preserve">人员工资每月每人不得低于苏州市吴江区最低工资标准要求。</w:t>
      </w:r>
      <w:r/>
    </w:p>
    <w:p>
      <w:pPr>
        <w:ind w:firstLine="211"/>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b/>
          <w:color w:val="auto"/>
          <w:szCs w:val="21"/>
          <w:highlight w:val="none"/>
        </w:rPr>
        <w:t xml:space="preserve">非超龄人员社保费不得低于最低缴费标准；所有人员高温费每年每人不低于1200元（每年按照6月、7月、8月、9月四个月考虑）；所有人员意外保险每年每人不低于600元。</w:t>
      </w:r>
      <w:r/>
    </w:p>
    <w:p>
      <w:pPr>
        <w:ind w:firstLine="211"/>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（3）投标报价明细中非超龄人员加班费：国假日每年</w:t>
      </w:r>
      <w:r>
        <w:rPr>
          <w:rFonts w:hint="eastAsia" w:ascii="宋体" w:hAnsi="宋体" w:cs="宋体"/>
          <w:b/>
          <w:bCs/>
          <w:color w:val="auto"/>
          <w:szCs w:val="21"/>
          <w:highlight w:val="none"/>
          <w:lang w:val="en-US" w:eastAsia="zh-CN"/>
        </w:rPr>
        <w:t xml:space="preserve">13</w:t>
      </w:r>
      <w:r>
        <w:rPr>
          <w:rFonts w:hint="eastAsia" w:ascii="宋体" w:hAnsi="宋体" w:cs="宋体"/>
          <w:b/>
          <w:bCs/>
          <w:color w:val="auto"/>
          <w:szCs w:val="21"/>
          <w:highlight w:val="none"/>
        </w:rPr>
        <w:t xml:space="preserve">天计算，加班工资为三倍；每年双休日按52周（即104天）计算，双休日加班工资为二倍，（以每月正常上班21.75天为基数计算）。</w:t>
      </w:r>
      <w:r/>
    </w:p>
    <w:p>
      <w:pPr>
        <w:ind w:firstLine="210"/>
        <w:spacing w:after="10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（4）税金、管理费及相应利润投标响应单位自行考虑。</w:t>
      </w:r>
      <w:r/>
    </w:p>
    <w:p>
      <w:pPr>
        <w:ind w:firstLine="210"/>
        <w:spacing w:after="100"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（5）未按上述要求报价的，为无效标处理。</w:t>
      </w:r>
      <w:r/>
    </w:p>
    <w:p>
      <w:pPr>
        <w:pStyle w:val="1093"/>
        <w:rPr>
          <w:color w:val="auto"/>
          <w:highlight w:val="none"/>
        </w:rPr>
      </w:pPr>
      <w:r>
        <w:rPr>
          <w:color w:val="auto"/>
          <w:highlight w:val="none"/>
        </w:rPr>
      </w:r>
      <w:r/>
    </w:p>
    <w:p>
      <w:pPr>
        <w:pStyle w:val="1122"/>
        <w:rPr>
          <w:rFonts w:hAnsi="宋体" w:cs="宋体"/>
          <w:b/>
          <w:bCs/>
          <w:color w:val="auto"/>
          <w:szCs w:val="21"/>
          <w:highlight w:val="none"/>
          <w:lang w:val="zh-CN"/>
        </w:rPr>
      </w:pPr>
      <w:r>
        <w:rPr>
          <w:rFonts w:hint="eastAsia" w:hAnsi="宋体" w:cs="宋体"/>
          <w:color w:val="auto"/>
          <w:szCs w:val="21"/>
          <w:highlight w:val="none"/>
        </w:rPr>
        <w:br w:type="page" w:clear="all"/>
      </w:r>
      <w:r>
        <w:rPr>
          <w:rFonts w:hint="eastAsia" w:hAnsi="宋体" w:eastAsia="宋体" w:cs="宋体"/>
          <w:b/>
          <w:bCs/>
          <w:color w:val="auto"/>
          <w:sz w:val="21"/>
          <w:szCs w:val="21"/>
          <w:highlight w:val="none"/>
          <w:lang w:val="zh-CN"/>
        </w:rPr>
        <w:t xml:space="preserve">附件</w:t>
      </w:r>
      <w:r>
        <w:rPr>
          <w:rFonts w:hint="eastAsia" w:hAnsi="宋体" w:eastAsia="宋体" w:cs="宋体"/>
          <w:b/>
          <w:bCs/>
          <w:color w:val="auto"/>
          <w:sz w:val="21"/>
          <w:szCs w:val="21"/>
          <w:highlight w:val="none"/>
        </w:rPr>
        <w:t xml:space="preserve">5</w:t>
      </w:r>
      <w:r>
        <w:rPr>
          <w:rFonts w:hint="eastAsia" w:hAnsi="宋体" w:eastAsia="宋体" w:cs="宋体"/>
          <w:b/>
          <w:bCs/>
          <w:color w:val="auto"/>
          <w:sz w:val="21"/>
          <w:szCs w:val="21"/>
          <w:highlight w:val="none"/>
          <w:lang w:val="zh-CN"/>
        </w:rPr>
        <w:t xml:space="preserve">：资格证明文件（格式为参考，响应单位可参照下述格式自制表格投标，但至少应包括下述格式中的内容，没有参考格式的则可根据情况自行编制）</w:t>
      </w:r>
      <w:r/>
    </w:p>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5.1</w:t>
      </w:r>
      <w:r>
        <w:rPr>
          <w:rFonts w:hint="eastAsia" w:ascii="宋体" w:hAnsi="宋体" w:cs="宋体"/>
          <w:b/>
          <w:bCs/>
          <w:color w:val="auto"/>
          <w:szCs w:val="21"/>
          <w:highlight w:val="none"/>
          <w:lang w:val="zh-CN"/>
        </w:rPr>
        <w:t xml:space="preserve">关于资格文件的声明函</w:t>
      </w:r>
      <w:r/>
    </w:p>
    <w:p>
      <w:pPr>
        <w:ind w:firstLine="420"/>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关于资格文件的声明函</w:t>
      </w:r>
      <w:r/>
    </w:p>
    <w:p>
      <w:pPr>
        <w:ind w:firstLine="420"/>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pStyle w:val="1111"/>
        <w:ind w:firstLine="66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本公司愿就由贵公司组织实施的编号为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1111"/>
        <w:tabs>
          <w:tab w:val="left" w:pos="32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11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响应单位法定代表人或委托代理人：（签字或盖章）</w:t>
      </w:r>
      <w:r/>
    </w:p>
    <w:p>
      <w:pPr>
        <w:pStyle w:val="1111"/>
        <w:ind w:left="1700" w:firstLine="425"/>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磋商响应单位：（公章）</w:t>
      </w:r>
      <w:r/>
    </w:p>
    <w:p>
      <w:pPr>
        <w:pStyle w:val="1111"/>
        <w:ind w:left="4675" w:firstLine="425"/>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111"/>
        <w:ind w:left="294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      年</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月 </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日</w:t>
      </w:r>
      <w:r/>
    </w:p>
    <w:p>
      <w:pPr>
        <w:spacing w:line="440" w:lineRule="exact"/>
        <w:rPr>
          <w:rFonts w:hint="eastAsia"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rPr>
        <w:t xml:space="preserve">5.2具备履行合同所必需的设备和专业技术能力的书面声明</w:t>
      </w:r>
      <w:r/>
    </w:p>
    <w:p>
      <w:pPr>
        <w:jc w:val="center"/>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center"/>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声    明</w:t>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我单位郑重声明：</w:t>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我单位具备履行本项采购合同所必需的设备和专业技术能力。</w:t>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磋商响应单位（加盖公章）：</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pStyle w:val="1111"/>
        <w:ind w:left="2940" w:firstLine="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440" w:lineRule="exact"/>
        <w:rPr>
          <w:rFonts w:hint="eastAsia"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rPr>
        <w:t xml:space="preserve">5.3参</w:t>
      </w:r>
      <w:r>
        <w:rPr>
          <w:rFonts w:hint="eastAsia" w:ascii="宋体" w:hAnsi="宋体" w:cs="宋体"/>
          <w:b/>
          <w:color w:val="auto"/>
          <w:szCs w:val="21"/>
          <w:highlight w:val="none"/>
        </w:rPr>
        <w:t xml:space="preserve">加采购活动前3年内在经营活动中没有重大违法记录的书面声明</w:t>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声    明</w:t>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我单位郑重声明：参加本次采购活动前3年内，我单位在经营活动中没有因违法经营受到刑事处罚或者责令停产停业、吊销许可证或者执照、较大数额罚款等行政处罚。</w:t>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磋商响应单位（加盖公章）：</w:t>
      </w:r>
      <w:r/>
    </w:p>
    <w:p>
      <w:pPr>
        <w:pStyle w:val="1111"/>
        <w:ind w:left="294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年  月  日</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5.4</w:t>
      </w:r>
      <w:r>
        <w:rPr>
          <w:rFonts w:hint="eastAsia" w:ascii="宋体" w:hAnsi="宋体" w:cs="宋体"/>
          <w:b/>
          <w:bCs/>
          <w:color w:val="auto"/>
          <w:szCs w:val="21"/>
          <w:highlight w:val="none"/>
          <w:lang w:val="zh-CN"/>
        </w:rPr>
        <w:t xml:space="preserve">响应单位情况表</w:t>
      </w:r>
      <w:r/>
    </w:p>
    <w:p>
      <w:pPr>
        <w:jc w:val="cente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响应单位基本情况表</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磋商响应单位：（公章）</w:t>
      </w:r>
      <w:r/>
    </w:p>
    <w:tbl>
      <w:tblPr>
        <w:tblStyle w:val="1092"/>
        <w:tblW w:w="4996"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805"/>
        <w:gridCol w:w="1995"/>
        <w:gridCol w:w="2145"/>
        <w:gridCol w:w="2336"/>
      </w:tblGrid>
      <w:tr>
        <w:trPr>
          <w:cantSplit/>
        </w:trPr>
        <w:tc>
          <w:tcPr>
            <w:tcW w:w="2805"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995"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145"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336"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Pr>
        <w:tc>
          <w:tcPr>
            <w:tcW w:w="2805"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995"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145"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336"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trPr>
        <w:tc>
          <w:tcPr>
            <w:tcW w:w="2805"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生产范围</w:t>
            </w:r>
            <w:r/>
          </w:p>
        </w:tc>
        <w:tc>
          <w:tcPr>
            <w:gridSpan w:val="3"/>
            <w:tcW w:w="6476"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Pr>
        <w:tc>
          <w:tcPr>
            <w:tcW w:w="2805"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995"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145"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其中：有中高级以上职称的人数</w:t>
            </w:r>
            <w:r/>
          </w:p>
        </w:tc>
        <w:tc>
          <w:tcPr>
            <w:tcW w:w="2336"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Pr>
        <w:tc>
          <w:tcPr>
            <w:tcW w:w="2805"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99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万元</w:t>
            </w:r>
            <w:r/>
          </w:p>
        </w:tc>
        <w:tc>
          <w:tcPr>
            <w:tcW w:w="214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净资产</w:t>
            </w:r>
            <w:r/>
          </w:p>
        </w:tc>
        <w:tc>
          <w:tcPr>
            <w:tcW w:w="23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万元</w:t>
            </w:r>
            <w:r/>
          </w:p>
        </w:tc>
      </w:tr>
      <w:tr>
        <w:trPr>
          <w:cantSplit/>
        </w:trPr>
        <w:tc>
          <w:tcPr>
            <w:tcW w:w="2805"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99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万元</w:t>
            </w:r>
            <w:r/>
          </w:p>
        </w:tc>
        <w:tc>
          <w:tcPr>
            <w:tcW w:w="214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33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年      万元</w:t>
            </w:r>
            <w:r/>
          </w:p>
        </w:tc>
      </w:tr>
      <w:tr>
        <w:trPr>
          <w:cantSplit/>
        </w:trPr>
        <w:tc>
          <w:tcPr>
            <w:tcW w:w="2805"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1995"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年    万元</w:t>
            </w:r>
            <w:r/>
          </w:p>
        </w:tc>
        <w:tc>
          <w:tcPr>
            <w:tcW w:w="2145"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336"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Pr>
        <w:tc>
          <w:tcPr>
            <w:tcW w:w="2805"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9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平方米</w:t>
            </w:r>
            <w:r/>
          </w:p>
        </w:tc>
        <w:tc>
          <w:tcPr>
            <w:tcW w:w="214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tc>
        <w:tc>
          <w:tcPr>
            <w:tcW w:w="2336"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trHeight w:val="356"/>
        </w:trPr>
        <w:tc>
          <w:tcPr>
            <w:tcW w:w="2805"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6476"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31"/>
        </w:trPr>
        <w:tc>
          <w:tcPr>
            <w:tcW w:w="2805"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6476"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760"/>
        </w:trPr>
        <w:tc>
          <w:tcPr>
            <w:tcW w:w="2805"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近两年来完成或正在履行的重大合同情况</w:t>
            </w:r>
            <w:r/>
          </w:p>
        </w:tc>
        <w:tc>
          <w:tcPr>
            <w:gridSpan w:val="3"/>
            <w:tcW w:w="6476"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Pr>
        <w:tc>
          <w:tcPr>
            <w:tcW w:w="2805"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最近2年内在经营过程中受到何种奖励或处分</w:t>
            </w:r>
            <w:r/>
          </w:p>
        </w:tc>
        <w:tc>
          <w:tcPr>
            <w:gridSpan w:val="3"/>
            <w:tcW w:w="6476"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trHeight w:val="1245"/>
        </w:trPr>
        <w:tc>
          <w:tcPr>
            <w:tcW w:w="2805"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6476"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trHeight w:val="1161"/>
        </w:trPr>
        <w:tc>
          <w:tcPr>
            <w:tcW w:w="2805"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最近3年内主要负责人有无因经济犯罪被司法机关追究的情况及说明</w:t>
            </w:r>
            <w:r/>
          </w:p>
        </w:tc>
        <w:tc>
          <w:tcPr>
            <w:gridSpan w:val="3"/>
            <w:tcW w:w="6476"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Pr>
        <w:tc>
          <w:tcPr>
            <w:tcW w:w="2805"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获得技术认证的工程师及简介</w:t>
            </w:r>
            <w:r/>
          </w:p>
        </w:tc>
        <w:tc>
          <w:tcPr>
            <w:gridSpan w:val="3"/>
            <w:tcW w:w="6476"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18"/>
        </w:trPr>
        <w:tc>
          <w:tcPr>
            <w:tcW w:w="2805"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476" w:type="dxa"/>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法定代表人或其授权代表：（签字或盖章）</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w:t>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color w:val="auto"/>
          <w:szCs w:val="21"/>
          <w:highlight w:val="none"/>
          <w:lang w:val="zh-CN"/>
        </w:rPr>
      </w:pP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5</w:t>
      </w:r>
      <w:r>
        <w:rPr>
          <w:rFonts w:hint="eastAsia" w:ascii="宋体" w:hAnsi="宋体" w:cs="宋体"/>
          <w:b/>
          <w:color w:val="auto"/>
          <w:szCs w:val="21"/>
          <w:highlight w:val="none"/>
          <w:lang w:val="zh-CN"/>
        </w:rPr>
        <w:t xml:space="preserve">响应单位资格承诺书</w:t>
      </w:r>
      <w:r/>
    </w:p>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响应单位资格承诺书</w:t>
      </w:r>
      <w:r/>
    </w:p>
    <w:p>
      <w:pPr>
        <w:ind w:firstLine="315"/>
        <w:rPr>
          <w:rFonts w:hint="eastAsia" w:ascii="宋体" w:hAnsi="宋体" w:cs="宋体"/>
          <w:color w:val="auto"/>
          <w:szCs w:val="21"/>
          <w:highlight w:val="none"/>
          <w:lang w:val="zh-CN"/>
        </w:rPr>
      </w:pPr>
      <w:r>
        <w:rPr>
          <w:rFonts w:hint="eastAsia" w:ascii="宋体" w:hAnsi="宋体" w:cs="宋体"/>
          <w:color w:val="auto"/>
          <w:szCs w:val="21"/>
          <w:highlight w:val="none"/>
        </w:rPr>
        <w:t xml:space="preserve">响应单位：（公章）                             采购编号：             号</w:t>
      </w:r>
      <w:r/>
    </w:p>
    <w:tbl>
      <w:tblPr>
        <w:tblStyle w:val="1092"/>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012"/>
        <w:gridCol w:w="1756"/>
        <w:gridCol w:w="3555"/>
      </w:tblGrid>
      <w:tr>
        <w:trPr>
          <w:jc w:val="center"/>
          <w:trHeight w:val="696"/>
        </w:trPr>
        <w:tc>
          <w:tcPr>
            <w:tcW w:w="959"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13"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响应单位部分资格要求</w:t>
            </w:r>
            <w:r/>
          </w:p>
        </w:tc>
        <w:tc>
          <w:tcPr>
            <w:tcW w:w="1756"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是否完全满足</w:t>
            </w:r>
            <w:r/>
          </w:p>
        </w:tc>
        <w:tc>
          <w:tcPr>
            <w:tcW w:w="3556"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660"/>
        </w:trPr>
        <w:tc>
          <w:tcPr>
            <w:tcW w:w="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01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具有独立承担民事责任的能力；</w:t>
            </w:r>
            <w:r/>
          </w:p>
        </w:tc>
        <w:tc>
          <w:tcPr>
            <w:tcW w:w="17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55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提供包括法人或者其他组织的营业执照等证明文件，自然人的身份证明</w:t>
            </w:r>
            <w:r/>
          </w:p>
        </w:tc>
      </w:tr>
      <w:tr>
        <w:trPr>
          <w:jc w:val="center"/>
          <w:trHeight w:val="660"/>
        </w:trPr>
        <w:tc>
          <w:tcPr>
            <w:tcW w:w="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01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具有良好的商业信誉和健全的财务会计制度；</w:t>
            </w:r>
            <w:r/>
          </w:p>
        </w:tc>
        <w:tc>
          <w:tcPr>
            <w:tcW w:w="17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55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提供包括但不限于最近一期经审计的财务报告或最近一期财务报表，其他组织、自然人及成立未满一年的法人应提供银行出具的资信证明</w:t>
            </w:r>
            <w:r/>
          </w:p>
        </w:tc>
      </w:tr>
      <w:tr>
        <w:trPr>
          <w:jc w:val="center"/>
          <w:trHeight w:val="660"/>
        </w:trPr>
        <w:tc>
          <w:tcPr>
            <w:tcW w:w="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301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具有履行合同所必需的设备和专业技术能力；</w:t>
            </w:r>
            <w:r/>
          </w:p>
        </w:tc>
        <w:tc>
          <w:tcPr>
            <w:tcW w:w="17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55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提供承诺或相关证明材料</w:t>
            </w:r>
            <w:r/>
          </w:p>
        </w:tc>
      </w:tr>
      <w:tr>
        <w:trPr>
          <w:jc w:val="center"/>
          <w:trHeight w:val="660"/>
        </w:trPr>
        <w:tc>
          <w:tcPr>
            <w:tcW w:w="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301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有依法缴纳税收和社会保障资金的良好记录；</w:t>
            </w:r>
            <w:r/>
          </w:p>
        </w:tc>
        <w:tc>
          <w:tcPr>
            <w:tcW w:w="17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55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301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参加政府采购活动前三年内，在经营活动中没有重大违法记录。</w:t>
            </w:r>
            <w:r/>
          </w:p>
        </w:tc>
        <w:tc>
          <w:tcPr>
            <w:tcW w:w="17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55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提供书面声明函</w:t>
            </w:r>
            <w:r/>
          </w:p>
        </w:tc>
      </w:tr>
      <w:tr>
        <w:trPr>
          <w:jc w:val="center"/>
          <w:trHeight w:val="660"/>
        </w:trPr>
        <w:tc>
          <w:tcPr>
            <w:tcW w:w="959" w:type="dxa"/>
            <w:vAlign w:val="center"/>
            <w:textDirection w:val="lrTb"/>
            <w:noWrap w:val="false"/>
          </w:tcPr>
          <w:p>
            <w:pPr>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301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法律、行政法规规定的其他条件；</w:t>
            </w:r>
            <w:r/>
          </w:p>
        </w:tc>
        <w:tc>
          <w:tcPr>
            <w:tcW w:w="17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55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提供包括法人或者其他组织的营业执照等证明文件，自然人的身份证明</w:t>
            </w:r>
            <w:r/>
          </w:p>
        </w:tc>
      </w:tr>
    </w:tbl>
    <w:p>
      <w:pPr>
        <w:pStyle w:val="1113"/>
        <w:ind w:firstLine="630"/>
        <w:spacing w:before="0" w:beforeAutospacing="0" w:after="0" w:afterAutospacing="0"/>
        <w:rPr>
          <w:rFonts w:hint="eastAsia"/>
          <w:color w:val="auto"/>
          <w:sz w:val="21"/>
          <w:szCs w:val="21"/>
          <w:highlight w:val="none"/>
        </w:rPr>
      </w:pPr>
      <w:r>
        <w:rPr>
          <w:rFonts w:hint="eastAsia"/>
          <w:color w:val="auto"/>
          <w:sz w:val="21"/>
          <w:szCs w:val="21"/>
          <w:highlight w:val="none"/>
        </w:rPr>
        <w:t xml:space="preserve">磋商响应单位（公章）：</w:t>
      </w:r>
      <w:r/>
    </w:p>
    <w:p>
      <w:pPr>
        <w:pStyle w:val="1113"/>
        <w:ind w:firstLine="630"/>
        <w:spacing w:before="0" w:beforeAutospacing="0" w:after="0" w:afterAutospacing="0"/>
        <w:rPr>
          <w:rFonts w:hint="eastAsia"/>
          <w:color w:val="auto"/>
          <w:sz w:val="21"/>
          <w:szCs w:val="21"/>
          <w:highlight w:val="none"/>
        </w:rPr>
      </w:pPr>
      <w:r>
        <w:rPr>
          <w:rFonts w:hint="eastAsia"/>
          <w:color w:val="auto"/>
          <w:sz w:val="21"/>
          <w:szCs w:val="21"/>
          <w:highlight w:val="none"/>
        </w:rPr>
        <w:t xml:space="preserve">法定代表人或委托代理人：（签字或盖章）</w:t>
      </w:r>
      <w:r/>
    </w:p>
    <w:p>
      <w:pPr>
        <w:ind w:firstLine="630"/>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111"/>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ageBreakBefore/>
        <w:rPr>
          <w:rFonts w:hint="eastAsia" w:ascii="宋体" w:hAnsi="宋体" w:cs="宋体"/>
          <w:b/>
          <w:bCs/>
          <w:color w:val="auto"/>
          <w:szCs w:val="21"/>
          <w:highlight w:val="none"/>
          <w:lang w:val="zh-CN"/>
        </w:rPr>
      </w:pPr>
      <w:r>
        <w:rPr>
          <w:rFonts w:hint="eastAsia" w:ascii="宋体" w:hAnsi="宋体" w:cs="宋体"/>
          <w:b/>
          <w:color w:val="auto"/>
          <w:szCs w:val="21"/>
          <w:highlight w:val="none"/>
        </w:rPr>
        <w:t xml:space="preserve">5.6</w:t>
      </w:r>
      <w:r>
        <w:rPr>
          <w:rFonts w:hint="eastAsia" w:ascii="宋体" w:hAnsi="宋体" w:cs="宋体"/>
          <w:b/>
          <w:bCs/>
          <w:color w:val="auto"/>
          <w:szCs w:val="21"/>
          <w:highlight w:val="none"/>
          <w:lang w:val="zh-CN"/>
        </w:rPr>
        <w:t xml:space="preserve">中小企业声明资料</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中小企业声明函（服务） </w:t>
      </w:r>
      <w:r/>
    </w:p>
    <w:p>
      <w:pPr>
        <w:ind w:firstLine="424"/>
        <w:jc w:val="left"/>
        <w:rPr>
          <w:rFonts w:hint="eastAsia" w:ascii="宋体" w:hAnsi="宋体" w:cs="宋体"/>
          <w:color w:val="auto"/>
          <w:szCs w:val="21"/>
          <w:highlight w:val="none"/>
        </w:rPr>
      </w:pPr>
      <w:r>
        <w:rPr>
          <w:rFonts w:hint="eastAsia" w:ascii="宋体" w:hAnsi="宋体" w:cs="宋体"/>
          <w:color w:val="auto"/>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采购活动，服务全部由符合政策要求的中小企业承接。相关企业（含联合体中的中小企业、签订分包意向协议的中小企业）的具体情况如下： </w:t>
      </w:r>
      <w:r/>
    </w:p>
    <w:p>
      <w:pPr>
        <w:ind w:firstLine="424"/>
        <w:jc w:val="left"/>
        <w:rPr>
          <w:rFonts w:hint="eastAsia"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 </w:t>
      </w:r>
      <w:r/>
    </w:p>
    <w:p>
      <w:pPr>
        <w:ind w:firstLine="424"/>
        <w:jc w:val="left"/>
        <w:rPr>
          <w:rFonts w:hint="eastAsia"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 …… </w:t>
      </w:r>
      <w:r/>
    </w:p>
    <w:p>
      <w:pPr>
        <w:ind w:firstLine="424"/>
        <w:jc w:val="left"/>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4095"/>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 期：</w:t>
      </w:r>
      <w:r/>
    </w:p>
    <w:p>
      <w:pPr>
        <w:ind w:firstLine="424"/>
        <w:jc w:val="left"/>
        <w:rPr>
          <w:rFonts w:hint="eastAsia" w:ascii="宋体" w:hAnsi="宋体" w:cs="宋体"/>
          <w:color w:val="auto"/>
          <w:szCs w:val="21"/>
          <w:highlight w:val="none"/>
        </w:rPr>
      </w:pPr>
      <w:r>
        <w:rPr>
          <w:rFonts w:hint="eastAsia" w:ascii="宋体" w:hAnsi="宋体" w:cs="宋体"/>
          <w:color w:val="auto"/>
          <w:szCs w:val="21"/>
          <w:highlight w:val="none"/>
        </w:rPr>
        <w:t xml:space="preserve">注：供应商对照《关于印发中小企业划型标准规定的通知》（工信部联企业【2011】300号）中的标准，明确标的承接企业所属企业类型。</w:t>
      </w:r>
      <w:r/>
    </w:p>
    <w:p>
      <w:pPr>
        <w:ind w:firstLine="424"/>
        <w:jc w:val="left"/>
        <w:rPr>
          <w:rFonts w:hint="eastAsia" w:ascii="宋体" w:hAnsi="宋体" w:cs="宋体"/>
          <w:color w:val="auto"/>
          <w:szCs w:val="21"/>
          <w:highlight w:val="none"/>
        </w:rPr>
      </w:pPr>
      <w:r>
        <w:rPr>
          <w:rFonts w:hint="eastAsia" w:ascii="宋体" w:hAnsi="宋体" w:cs="宋体"/>
          <w:color w:val="auto"/>
          <w:szCs w:val="21"/>
          <w:highlight w:val="none"/>
        </w:rPr>
        <w:t xml:space="preserve">备注：1.从业人员、营业收入、资产总额填报上一年度数据，无上一年度数据的新成立企业可不填报。</w:t>
      </w:r>
      <w:r/>
    </w:p>
    <w:p>
      <w:pPr>
        <w:ind w:firstLine="424"/>
        <w:jc w:val="left"/>
        <w:rPr>
          <w:rFonts w:hint="eastAsia" w:ascii="宋体" w:hAnsi="宋体" w:cs="宋体"/>
          <w:color w:val="auto"/>
          <w:szCs w:val="21"/>
          <w:highlight w:val="none"/>
        </w:rPr>
      </w:pPr>
      <w:r>
        <w:rPr>
          <w:rFonts w:hint="eastAsia" w:ascii="宋体" w:hAnsi="宋体" w:cs="宋体"/>
          <w:color w:val="auto"/>
          <w:szCs w:val="21"/>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b/>
          <w:bCs/>
          <w:color w:val="auto"/>
          <w:szCs w:val="21"/>
          <w:highlight w:val="none"/>
        </w:rPr>
        <w:t xml:space="preserve">服务类项目中供应商若使用退休人员，将不享受相应扶持政策。具体见</w:t>
      </w:r>
      <w:bookmarkStart w:id="80" w:name="OLE_LINK18"/>
      <w:r>
        <w:rPr>
          <w:rFonts w:hint="eastAsia" w:ascii="宋体" w:hAnsi="宋体" w:cs="宋体"/>
          <w:b/>
          <w:bCs/>
          <w:color w:val="auto"/>
          <w:szCs w:val="21"/>
          <w:highlight w:val="none"/>
        </w:rPr>
        <w:t xml:space="preserve">《政府采购促进中小企业发展管理办法》第四条第（三）点的规定</w:t>
      </w:r>
      <w:bookmarkEnd w:id="80"/>
      <w:r>
        <w:rPr>
          <w:rFonts w:hint="eastAsia" w:ascii="宋体" w:hAnsi="宋体" w:cs="宋体"/>
          <w:b/>
          <w:bCs/>
          <w:color w:val="auto"/>
          <w:szCs w:val="21"/>
          <w:highlight w:val="none"/>
        </w:rPr>
        <w:t xml:space="preserve">。</w:t>
      </w:r>
      <w:r/>
    </w:p>
    <w:p>
      <w:pPr>
        <w:pStyle w:val="1106"/>
        <w:ind w:firstLine="428"/>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106"/>
        <w:ind w:firstLine="428"/>
        <w:rPr>
          <w:rFonts w:hint="eastAsia" w:ascii="宋体" w:hAnsi="宋体" w:cs="宋体"/>
          <w:color w:val="auto"/>
          <w:szCs w:val="21"/>
          <w:highlight w:val="none"/>
        </w:rPr>
      </w:pPr>
      <w:r>
        <w:rPr>
          <w:rFonts w:hint="eastAsia" w:ascii="宋体" w:hAnsi="宋体" w:cs="宋体"/>
          <w:b/>
          <w:bCs/>
          <w:color w:val="auto"/>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color w:val="auto"/>
          <w:szCs w:val="21"/>
          <w:highlight w:val="none"/>
        </w:rPr>
        <w:t xml:space="preserve">。</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w:t>
      </w:r>
      <w:r/>
    </w:p>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right"/>
        <w:rPr>
          <w:rFonts w:hint="eastAsia" w:ascii="宋体" w:hAnsi="宋体" w:cs="宋体"/>
          <w:color w:val="auto"/>
          <w:szCs w:val="21"/>
          <w:highlight w:val="none"/>
        </w:rPr>
      </w:pPr>
      <w:r>
        <w:rPr>
          <w:rFonts w:hint="eastAsia" w:ascii="宋体" w:hAnsi="宋体" w:cs="宋体"/>
          <w:color w:val="auto"/>
          <w:szCs w:val="21"/>
          <w:highlight w:val="none"/>
        </w:rPr>
      </w:r>
      <w:r/>
    </w:p>
    <w:p>
      <w:pPr>
        <w:pStyle w:val="1123"/>
        <w:spacing w:line="360" w:lineRule="auto"/>
        <w:tabs>
          <w:tab w:val="left" w:pos="525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123"/>
        <w:spacing w:line="360" w:lineRule="auto"/>
        <w:tabs>
          <w:tab w:val="left" w:pos="525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123"/>
        <w:spacing w:line="360" w:lineRule="auto"/>
        <w:tabs>
          <w:tab w:val="left" w:pos="525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right="-5"/>
        <w:pageBreakBefore/>
        <w:rPr>
          <w:rFonts w:hint="eastAsia" w:ascii="宋体" w:hAnsi="宋体" w:cs="宋体"/>
          <w:b/>
          <w:color w:val="auto"/>
          <w:szCs w:val="21"/>
          <w:highlight w:val="none"/>
        </w:rPr>
      </w:pPr>
      <w:r/>
      <w:bookmarkStart w:id="81" w:name="OLE_LINK14"/>
      <w:r/>
      <w:bookmarkStart w:id="82" w:name="OLE_LINK13"/>
      <w:r>
        <w:rPr>
          <w:rFonts w:hint="eastAsia" w:ascii="宋体" w:hAnsi="宋体" w:cs="宋体"/>
          <w:b/>
          <w:color w:val="auto"/>
          <w:szCs w:val="21"/>
          <w:highlight w:val="none"/>
        </w:rPr>
        <w:t xml:space="preserve">5.7 残疾人福利性单位声明函</w:t>
      </w:r>
      <w:r/>
    </w:p>
    <w:p>
      <w:pPr>
        <w:jc w:val="center"/>
        <w:rPr>
          <w:rFonts w:hint="eastAsia" w:ascii="宋体" w:hAnsi="宋体" w:cs="宋体"/>
          <w:b/>
          <w:color w:val="auto"/>
          <w:spacing w:val="6"/>
          <w:szCs w:val="21"/>
          <w:highlight w:val="none"/>
        </w:rPr>
      </w:pPr>
      <w:r>
        <w:rPr>
          <w:rFonts w:hint="eastAsia" w:ascii="宋体" w:hAnsi="宋体" w:cs="宋体"/>
          <w:b/>
          <w:color w:val="auto"/>
          <w:spacing w:val="6"/>
          <w:szCs w:val="21"/>
          <w:highlight w:val="none"/>
        </w:rPr>
        <w:t xml:space="preserve">残疾人福利性单位声明函</w:t>
      </w:r>
      <w:bookmarkEnd w:id="81"/>
      <w:r/>
      <w:bookmarkEnd w:id="82"/>
      <w:r/>
      <w:r/>
    </w:p>
    <w:p>
      <w:pPr>
        <w:rPr>
          <w:rFonts w:hint="eastAsia" w:ascii="宋体" w:hAnsi="宋体" w:cs="宋体"/>
          <w:b/>
          <w:color w:val="auto"/>
          <w:spacing w:val="6"/>
          <w:szCs w:val="21"/>
          <w:highlight w:val="none"/>
        </w:rPr>
      </w:pPr>
      <w:r>
        <w:rPr>
          <w:rFonts w:hint="eastAsia" w:ascii="宋体" w:hAnsi="宋体" w:cs="宋体"/>
          <w:b/>
          <w:color w:val="auto"/>
          <w:spacing w:val="6"/>
          <w:szCs w:val="21"/>
          <w:highlight w:val="none"/>
        </w:rPr>
      </w:r>
      <w:r/>
    </w:p>
    <w:p>
      <w:pPr>
        <w:ind w:firstLine="444"/>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firstLine="444"/>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right="1560" w:firstLine="444"/>
        <w:jc w:val="center"/>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333"/>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right="492" w:firstLine="388"/>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492" w:firstLine="388"/>
        <w:jc w:val="center"/>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492" w:firstLine="388"/>
        <w:jc w:val="center"/>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firstLine="422"/>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pageBreakBefore/>
        <w:rPr>
          <w:rFonts w:hint="eastAsia" w:ascii="宋体" w:hAnsi="宋体" w:cs="宋体"/>
          <w:b/>
          <w:bCs/>
          <w:color w:val="auto"/>
          <w:szCs w:val="21"/>
          <w:highlight w:val="none"/>
        </w:rPr>
      </w:pPr>
      <w:r>
        <w:rPr>
          <w:rFonts w:hint="eastAsia" w:ascii="宋体" w:hAnsi="宋体" w:cs="宋体"/>
          <w:b/>
          <w:color w:val="auto"/>
          <w:szCs w:val="21"/>
          <w:highlight w:val="none"/>
        </w:rPr>
        <w:t xml:space="preserve">5.8监狱企业声明函</w:t>
      </w:r>
      <w:r/>
    </w:p>
    <w:p>
      <w:pPr>
        <w:jc w:val="center"/>
        <w:rPr>
          <w:rFonts w:hint="eastAsia" w:ascii="宋体" w:hAnsi="宋体" w:cs="宋体"/>
          <w:b/>
          <w:color w:val="auto"/>
          <w:szCs w:val="21"/>
          <w:highlight w:val="none"/>
        </w:rPr>
      </w:pPr>
      <w:r>
        <w:rPr>
          <w:rFonts w:hint="eastAsia" w:ascii="宋体" w:hAnsi="宋体" w:cs="宋体"/>
          <w:b/>
          <w:bCs/>
          <w:color w:val="auto"/>
          <w:szCs w:val="21"/>
          <w:highlight w:val="none"/>
        </w:rPr>
        <w:t xml:space="preserve">监狱企业声明函</w:t>
      </w:r>
      <w:r/>
    </w:p>
    <w:p>
      <w:pPr>
        <w:pStyle w:val="1113"/>
        <w:ind w:firstLine="480"/>
        <w:spacing w:before="75" w:beforeAutospacing="0" w:after="75" w:afterAutospacing="0" w:line="435" w:lineRule="atLeast"/>
        <w:rPr>
          <w:rFonts w:hint="eastAsia"/>
          <w:color w:val="auto"/>
          <w:sz w:val="21"/>
          <w:szCs w:val="21"/>
          <w:highlight w:val="none"/>
        </w:rPr>
      </w:pPr>
      <w:r>
        <w:rPr>
          <w:rFonts w:hint="eastAsia"/>
          <w:color w:val="auto"/>
          <w:sz w:val="21"/>
          <w:szCs w:val="21"/>
          <w:highlight w:val="none"/>
        </w:rPr>
      </w:r>
      <w:r/>
    </w:p>
    <w:p>
      <w:pPr>
        <w:pStyle w:val="1113"/>
        <w:ind w:firstLine="480"/>
        <w:spacing w:before="75" w:beforeAutospacing="0" w:after="75" w:afterAutospacing="0" w:line="435" w:lineRule="atLeast"/>
        <w:rPr>
          <w:rFonts w:hint="eastAsia"/>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1113"/>
        <w:ind w:firstLine="480"/>
        <w:spacing w:before="75" w:beforeAutospacing="0" w:after="75" w:afterAutospacing="0" w:line="435" w:lineRule="atLeast"/>
        <w:rPr>
          <w:rFonts w:hint="eastAsia"/>
          <w:color w:val="auto"/>
          <w:sz w:val="21"/>
          <w:szCs w:val="21"/>
          <w:highlight w:val="none"/>
        </w:rPr>
      </w:pPr>
      <w:r>
        <w:rPr>
          <w:rFonts w:hint="eastAsia"/>
          <w:color w:val="auto"/>
          <w:sz w:val="21"/>
          <w:szCs w:val="21"/>
          <w:highlight w:val="none"/>
        </w:rPr>
        <w:t xml:space="preserve">本企业（单位）为直接响应单位提供本企业（单位）的服务。</w:t>
      </w:r>
      <w:r/>
    </w:p>
    <w:p>
      <w:pPr>
        <w:pStyle w:val="1113"/>
        <w:numPr>
          <w:ilvl w:val="0"/>
          <w:numId w:val="4"/>
        </w:numPr>
        <w:ind w:firstLine="480"/>
        <w:spacing w:before="75" w:beforeAutospacing="0" w:after="75" w:afterAutospacing="0" w:line="435" w:lineRule="atLeast"/>
        <w:rPr>
          <w:rFonts w:hint="eastAsia"/>
          <w:color w:val="auto"/>
          <w:sz w:val="21"/>
          <w:szCs w:val="21"/>
          <w:highlight w:val="none"/>
        </w:rPr>
      </w:pPr>
      <w:r>
        <w:rPr>
          <w:rFonts w:hint="eastAsia"/>
          <w:color w:val="auto"/>
          <w:sz w:val="21"/>
          <w:szCs w:val="21"/>
          <w:highlight w:val="none"/>
        </w:rPr>
        <w:t xml:space="preserve">本企业（单位）（请填写：是、不是）监狱企业。</w:t>
      </w:r>
      <w:r/>
    </w:p>
    <w:p>
      <w:pPr>
        <w:pStyle w:val="1113"/>
        <w:ind w:firstLine="420"/>
        <w:spacing w:before="75" w:beforeAutospacing="0" w:after="75" w:afterAutospacing="0" w:line="435" w:lineRule="atLeast"/>
        <w:rPr>
          <w:rFonts w:hint="eastAsia"/>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1113"/>
        <w:ind w:firstLine="480"/>
        <w:spacing w:before="75" w:beforeAutospacing="0" w:after="75" w:afterAutospacing="0" w:line="435" w:lineRule="atLeast"/>
        <w:rPr>
          <w:rFonts w:hint="eastAsia"/>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1113"/>
        <w:ind w:firstLine="480"/>
        <w:spacing w:before="75" w:beforeAutospacing="0" w:after="75" w:afterAutospacing="0" w:line="435" w:lineRule="atLeast"/>
        <w:rPr>
          <w:rFonts w:hint="eastAsia"/>
          <w:color w:val="auto"/>
          <w:sz w:val="21"/>
          <w:szCs w:val="21"/>
          <w:highlight w:val="none"/>
        </w:rPr>
      </w:pPr>
      <w:r>
        <w:rPr>
          <w:rFonts w:hint="eastAsia"/>
          <w:color w:val="auto"/>
          <w:sz w:val="21"/>
          <w:szCs w:val="21"/>
          <w:highlight w:val="none"/>
        </w:rPr>
      </w:r>
      <w:r/>
    </w:p>
    <w:p>
      <w:pPr>
        <w:pStyle w:val="1113"/>
        <w:ind w:firstLine="4200"/>
        <w:jc w:val="both"/>
        <w:spacing w:before="75" w:beforeAutospacing="0" w:after="75" w:afterAutospacing="0" w:line="435" w:lineRule="atLeast"/>
        <w:rPr>
          <w:rFonts w:hint="eastAsia"/>
          <w:color w:val="auto"/>
          <w:sz w:val="21"/>
          <w:szCs w:val="21"/>
          <w:highlight w:val="none"/>
        </w:rPr>
      </w:pPr>
      <w:r>
        <w:rPr>
          <w:rFonts w:hint="eastAsia"/>
          <w:color w:val="auto"/>
          <w:sz w:val="21"/>
          <w:szCs w:val="21"/>
          <w:highlight w:val="none"/>
        </w:rPr>
        <w:t xml:space="preserve">响应单位签章：</w:t>
      </w:r>
      <w:r>
        <w:rPr>
          <w:rFonts w:hint="eastAsia"/>
          <w:color w:val="auto"/>
          <w:sz w:val="21"/>
          <w:szCs w:val="21"/>
          <w:highlight w:val="none"/>
          <w:u w:val="single"/>
        </w:rPr>
        <w:t xml:space="preserve">         </w:t>
      </w:r>
      <w:r/>
    </w:p>
    <w:p>
      <w:pPr>
        <w:pStyle w:val="1113"/>
        <w:ind w:firstLine="4305"/>
        <w:spacing w:before="75" w:beforeAutospacing="0" w:after="75" w:afterAutospacing="0" w:line="435" w:lineRule="atLeast"/>
        <w:rPr>
          <w:rFonts w:hint="eastAsia"/>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ind w:firstLine="422"/>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pageBreakBefore/>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5.9投标（响应）保证承诺书</w:t>
      </w:r>
      <w:r/>
    </w:p>
    <w:p>
      <w:pPr>
        <w:pStyle w:val="1123"/>
        <w:jc w:val="center"/>
        <w:spacing w:line="360" w:lineRule="auto"/>
        <w:tabs>
          <w:tab w:val="left" w:pos="525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投标（响应）保证承诺书</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60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55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55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2.中标（成交）后不依法与采购人签订合同；</w:t>
      </w:r>
      <w:r/>
    </w:p>
    <w:p>
      <w:pPr>
        <w:ind w:firstLine="55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3.中标（成交）后不按本采购文件规定向采购人提交履约保证金（如有）；</w:t>
      </w:r>
      <w:r/>
    </w:p>
    <w:p>
      <w:pPr>
        <w:ind w:firstLine="55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4.中标（成交）后不按本采购文件规定向贵方缴纳采购代理费。</w:t>
      </w:r>
      <w:r/>
    </w:p>
    <w:p>
      <w:pPr>
        <w:ind w:firstLine="60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投标（响应）人（盖公章）：</w:t>
      </w:r>
      <w:r>
        <w:rPr>
          <w:rFonts w:hint="eastAsia" w:ascii="宋体" w:hAnsi="宋体" w:cs="宋体"/>
          <w:color w:val="auto"/>
          <w:szCs w:val="21"/>
          <w:highlight w:val="none"/>
          <w:u w:val="single"/>
        </w:rPr>
        <w:t xml:space="preserve">                      </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     </w:t>
      </w:r>
      <w:r>
        <w:rPr>
          <w:rFonts w:hint="eastAsia" w:ascii="宋体" w:hAnsi="宋体" w:cs="宋体"/>
          <w:color w:val="auto"/>
          <w:szCs w:val="21"/>
          <w:highlight w:val="none"/>
          <w:u w:val="single"/>
        </w:rPr>
        <w:t xml:space="preserve">                </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bookmarkEnd w:id="75"/>
      <w:r/>
      <w:bookmarkEnd w:id="76"/>
      <w:r/>
      <w:bookmarkEnd w:id="77"/>
      <w:r/>
      <w:bookmarkEnd w:id="78"/>
      <w:r/>
      <w:bookmarkEnd w:id="79"/>
      <w:r/>
      <w:r/>
    </w:p>
    <w:p>
      <w:pPr>
        <w:spacing w:line="400" w:lineRule="exact"/>
        <w:rPr>
          <w:rFonts w:hint="eastAsia" w:ascii="宋体" w:hAnsi="宋体" w:cs="宋体"/>
          <w:b/>
          <w:bCs/>
          <w:color w:val="auto"/>
          <w:szCs w:val="21"/>
          <w:highlight w:val="none"/>
        </w:rPr>
      </w:pPr>
      <w:r>
        <w:rPr>
          <w:rFonts w:hint="eastAsia" w:ascii="宋体" w:hAnsi="宋体" w:cs="宋体"/>
          <w:color w:val="auto"/>
          <w:szCs w:val="21"/>
          <w:highlight w:val="none"/>
          <w:u w:val="single"/>
        </w:rPr>
        <w:br w:type="page" w:clear="all"/>
      </w:r>
      <w:r>
        <w:rPr>
          <w:rFonts w:hint="eastAsia" w:ascii="宋体" w:hAnsi="宋体" w:cs="宋体"/>
          <w:b/>
          <w:bCs/>
          <w:color w:val="auto"/>
          <w:szCs w:val="21"/>
          <w:highlight w:val="none"/>
        </w:rPr>
        <w:t xml:space="preserve">附件6：技术部分（格式为参考，磋商响应单位可参照下述格式自制表格投标，但至少应包括下述格式中的内容，没有参考格式的则可根据情况自行编制）</w:t>
      </w:r>
      <w:r/>
    </w:p>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6.1服务条款偏离表</w:t>
      </w:r>
      <w:r/>
    </w:p>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服务条款偏离表</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单位名称（盖章）：                              </w:t>
      </w:r>
      <w:r/>
    </w:p>
    <w:tbl>
      <w:tblPr>
        <w:tblStyle w:val="1092"/>
        <w:tblW w:w="4997" w:type="pct"/>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828"/>
        <w:gridCol w:w="1644"/>
        <w:gridCol w:w="1462"/>
        <w:gridCol w:w="1724"/>
        <w:gridCol w:w="1784"/>
      </w:tblGrid>
      <w:tr>
        <w:trPr/>
        <w:tc>
          <w:tcPr>
            <w:tcW w:w="4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p>
        </w:tc>
        <w:tc>
          <w:tcPr>
            <w:tcW w:w="8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78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投标要求</w:t>
            </w:r>
            <w:r/>
          </w:p>
        </w:tc>
        <w:tc>
          <w:tcPr>
            <w:tcW w:w="9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偏离/响应</w:t>
            </w:r>
            <w:r/>
          </w:p>
        </w:tc>
        <w:tc>
          <w:tcPr>
            <w:tcW w:w="96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tc>
      </w:tr>
      <w:tr>
        <w:trPr/>
        <w:tc>
          <w:tcPr>
            <w:tcW w:w="45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84"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88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8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2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60"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45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84"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88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8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2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60"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45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84"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88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8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2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60"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45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84"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88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8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2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60"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45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84"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88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8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2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60"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45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84"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88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8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2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60"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45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84"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88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8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2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60"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45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84"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88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8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2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60"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45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84"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88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8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2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60"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45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84"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88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8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2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60"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t xml:space="preserve">注：1、磋商响应单位应对照采购文件技术要求等要求，所投标的物（服务）与采购文件的规定有偏离的，应在此表中申明与技术要求条文的偏差和例外。</w:t>
      </w:r>
      <w:r/>
    </w:p>
    <w:p>
      <w:pPr>
        <w:pStyle w:val="1124"/>
        <w:rPr>
          <w:rFonts w:hint="eastAsia" w:ascii="宋体" w:hAnsi="宋体" w:cs="宋体"/>
          <w:color w:val="auto"/>
          <w:szCs w:val="21"/>
          <w:highlight w:val="none"/>
        </w:rPr>
      </w:pPr>
      <w:r>
        <w:rPr>
          <w:rFonts w:hint="eastAsia" w:ascii="宋体" w:hAnsi="宋体" w:cs="宋体"/>
          <w:color w:val="auto"/>
          <w:szCs w:val="21"/>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315"/>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磋商响应单位：（单位盖章）</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hint="eastAsia"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6.2商务条款偏离表</w:t>
      </w:r>
      <w:r/>
    </w:p>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商务条款偏离表</w:t>
      </w:r>
      <w:r/>
    </w:p>
    <w:p>
      <w:pPr>
        <w:pStyle w:val="1111"/>
        <w:ind w:firstLine="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单位名称（盖章）：                              </w:t>
      </w:r>
      <w:r/>
    </w:p>
    <w:tbl>
      <w:tblPr>
        <w:tblStyle w:val="1092"/>
        <w:tblW w:w="4998" w:type="pct"/>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935"/>
        <w:gridCol w:w="2417"/>
        <w:gridCol w:w="2417"/>
        <w:gridCol w:w="1728"/>
      </w:tblGrid>
      <w:tr>
        <w:trPr/>
        <w:tc>
          <w:tcPr>
            <w:tcW w:w="38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b/>
                <w:bCs/>
                <w:color w:val="auto"/>
                <w:szCs w:val="21"/>
                <w:highlight w:val="none"/>
              </w:rPr>
              <w:t xml:space="preserve">序号</w:t>
            </w:r>
            <w:r/>
          </w:p>
        </w:tc>
        <w:tc>
          <w:tcPr>
            <w:tcW w:w="10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b/>
                <w:bCs/>
                <w:color w:val="auto"/>
                <w:szCs w:val="21"/>
                <w:highlight w:val="none"/>
              </w:rPr>
              <w:t xml:space="preserve">名称</w:t>
            </w:r>
            <w:r/>
          </w:p>
        </w:tc>
        <w:tc>
          <w:tcPr>
            <w:tcW w:w="131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b/>
                <w:bCs/>
                <w:color w:val="auto"/>
                <w:szCs w:val="21"/>
                <w:highlight w:val="none"/>
              </w:rPr>
              <w:t xml:space="preserve">磋商文件商务要求</w:t>
            </w:r>
            <w:r/>
          </w:p>
        </w:tc>
        <w:tc>
          <w:tcPr>
            <w:tcW w:w="131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b/>
                <w:bCs/>
                <w:color w:val="auto"/>
                <w:szCs w:val="21"/>
                <w:highlight w:val="none"/>
              </w:rPr>
              <w:t xml:space="preserve">响应文件响应情况</w:t>
            </w:r>
            <w:r/>
          </w:p>
        </w:tc>
        <w:tc>
          <w:tcPr>
            <w:tcW w:w="93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tc>
      </w:tr>
      <w:tr>
        <w:trPr/>
        <w:tc>
          <w:tcPr>
            <w:tcW w:w="38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0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服务期限</w:t>
            </w:r>
            <w:r/>
          </w:p>
        </w:tc>
        <w:tc>
          <w:tcPr>
            <w:tcW w:w="131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1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38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0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131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1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38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0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合同主要条款</w:t>
            </w:r>
            <w:r/>
          </w:p>
        </w:tc>
        <w:tc>
          <w:tcPr>
            <w:tcW w:w="131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1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38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0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31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1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38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1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1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38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50"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1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1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38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50"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1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1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38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50"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1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1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38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50"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1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1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38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50"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1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1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t xml:space="preserve">注：磋商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磋商响应单位：（单位盖章）</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pStyle w:val="1111"/>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6.3针对本项目的人员配置表</w:t>
      </w:r>
      <w:r/>
    </w:p>
    <w:p>
      <w:pPr>
        <w:jc w:val="center"/>
        <w:rPr>
          <w:rFonts w:hint="eastAsia" w:ascii="宋体" w:hAnsi="宋体" w:cs="宋体"/>
          <w:b/>
          <w:bCs/>
          <w:color w:val="auto"/>
          <w:spacing w:val="20"/>
          <w:highlight w:val="none"/>
        </w:rPr>
      </w:pPr>
      <w:r>
        <w:rPr>
          <w:rFonts w:hint="eastAsia" w:ascii="宋体" w:hAnsi="宋体" w:cs="宋体"/>
          <w:b/>
          <w:bCs/>
          <w:color w:val="auto"/>
          <w:spacing w:val="20"/>
          <w:highlight w:val="none"/>
        </w:rPr>
        <w:t xml:space="preserve">（1）针对本项目的人员配置表</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采购编号：                                      项目名称：</w:t>
      </w:r>
      <w:r/>
    </w:p>
    <w:tbl>
      <w:tblPr>
        <w:tblStyle w:val="1092"/>
        <w:tblW w:w="8956"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1"/>
        <w:gridCol w:w="1138"/>
        <w:gridCol w:w="986"/>
        <w:gridCol w:w="716"/>
        <w:gridCol w:w="760"/>
        <w:gridCol w:w="718"/>
        <w:gridCol w:w="1319"/>
        <w:gridCol w:w="1186"/>
        <w:gridCol w:w="1422"/>
      </w:tblGrid>
      <w:tr>
        <w:trPr>
          <w:trHeight w:val="803"/>
        </w:trPr>
        <w:tc>
          <w:tcPr>
            <w:tcW w:w="711" w:type="dxa"/>
            <w:textDirection w:val="lrTb"/>
            <w:noWrap w:val="false"/>
          </w:tcPr>
          <w:p>
            <w:pPr>
              <w:pStyle w:val="1125"/>
              <w:spacing w:before="8"/>
              <w:rPr>
                <w:rFonts w:hint="eastAsia"/>
                <w:b/>
                <w:color w:val="auto"/>
                <w:highlight w:val="none"/>
              </w:rPr>
            </w:pPr>
            <w:r>
              <w:rPr>
                <w:rFonts w:hint="eastAsia"/>
                <w:b/>
                <w:color w:val="auto"/>
                <w:highlight w:val="none"/>
              </w:rPr>
            </w:r>
            <w:r/>
          </w:p>
          <w:p>
            <w:pPr>
              <w:pStyle w:val="1125"/>
              <w:ind w:left="175" w:right="172"/>
              <w:jc w:val="center"/>
              <w:rPr>
                <w:rFonts w:hint="eastAsia"/>
                <w:color w:val="auto"/>
                <w:highlight w:val="none"/>
              </w:rPr>
            </w:pPr>
            <w:r>
              <w:rPr>
                <w:rFonts w:hint="eastAsia"/>
                <w:color w:val="auto"/>
                <w:highlight w:val="none"/>
              </w:rPr>
              <w:t xml:space="preserve">序号</w:t>
            </w:r>
            <w:r/>
          </w:p>
        </w:tc>
        <w:tc>
          <w:tcPr>
            <w:tcW w:w="1138" w:type="dxa"/>
            <w:vAlign w:val="center"/>
            <w:textDirection w:val="lrTb"/>
            <w:noWrap w:val="false"/>
          </w:tcPr>
          <w:p>
            <w:pPr>
              <w:pStyle w:val="1125"/>
              <w:ind w:left="433" w:right="106" w:hanging="315"/>
              <w:jc w:val="center"/>
              <w:spacing w:before="134" w:line="278" w:lineRule="auto"/>
              <w:rPr>
                <w:rFonts w:hint="eastAsia"/>
                <w:color w:val="auto"/>
                <w:highlight w:val="none"/>
              </w:rPr>
            </w:pPr>
            <w:r>
              <w:rPr>
                <w:rFonts w:hint="eastAsia"/>
                <w:color w:val="auto"/>
                <w:highlight w:val="none"/>
              </w:rPr>
              <w:t xml:space="preserve">项目组所任职务</w:t>
            </w:r>
            <w:r/>
          </w:p>
        </w:tc>
        <w:tc>
          <w:tcPr>
            <w:tcW w:w="986" w:type="dxa"/>
            <w:textDirection w:val="lrTb"/>
            <w:noWrap w:val="false"/>
          </w:tcPr>
          <w:p>
            <w:pPr>
              <w:pStyle w:val="1125"/>
              <w:spacing w:before="8"/>
              <w:rPr>
                <w:rFonts w:hint="eastAsia"/>
                <w:b/>
                <w:color w:val="auto"/>
                <w:highlight w:val="none"/>
              </w:rPr>
            </w:pPr>
            <w:r>
              <w:rPr>
                <w:rFonts w:hint="eastAsia"/>
                <w:b/>
                <w:color w:val="auto"/>
                <w:highlight w:val="none"/>
              </w:rPr>
            </w:r>
            <w:r/>
          </w:p>
          <w:p>
            <w:pPr>
              <w:pStyle w:val="1125"/>
              <w:ind w:left="366"/>
              <w:rPr>
                <w:rFonts w:hint="eastAsia"/>
                <w:color w:val="auto"/>
                <w:highlight w:val="none"/>
              </w:rPr>
            </w:pPr>
            <w:r>
              <w:rPr>
                <w:rFonts w:hint="eastAsia"/>
                <w:color w:val="auto"/>
                <w:highlight w:val="none"/>
              </w:rPr>
              <w:t xml:space="preserve">姓名</w:t>
            </w:r>
            <w:r/>
          </w:p>
        </w:tc>
        <w:tc>
          <w:tcPr>
            <w:tcW w:w="716" w:type="dxa"/>
            <w:textDirection w:val="lrTb"/>
            <w:noWrap w:val="false"/>
          </w:tcPr>
          <w:p>
            <w:pPr>
              <w:pStyle w:val="1125"/>
              <w:spacing w:before="8"/>
              <w:rPr>
                <w:rFonts w:hint="eastAsia"/>
                <w:b/>
                <w:color w:val="auto"/>
                <w:highlight w:val="none"/>
              </w:rPr>
            </w:pPr>
            <w:r>
              <w:rPr>
                <w:rFonts w:hint="eastAsia"/>
                <w:b/>
                <w:color w:val="auto"/>
                <w:highlight w:val="none"/>
              </w:rPr>
            </w:r>
            <w:r/>
          </w:p>
          <w:p>
            <w:pPr>
              <w:pStyle w:val="1125"/>
              <w:ind w:left="200"/>
              <w:rPr>
                <w:rFonts w:hint="eastAsia"/>
                <w:color w:val="auto"/>
                <w:highlight w:val="none"/>
              </w:rPr>
            </w:pPr>
            <w:r>
              <w:rPr>
                <w:rFonts w:hint="eastAsia"/>
                <w:color w:val="auto"/>
                <w:highlight w:val="none"/>
              </w:rPr>
              <w:t xml:space="preserve">性别</w:t>
            </w:r>
            <w:r/>
          </w:p>
        </w:tc>
        <w:tc>
          <w:tcPr>
            <w:tcW w:w="760" w:type="dxa"/>
            <w:textDirection w:val="lrTb"/>
            <w:noWrap w:val="false"/>
          </w:tcPr>
          <w:p>
            <w:pPr>
              <w:pStyle w:val="1125"/>
              <w:spacing w:before="8"/>
              <w:rPr>
                <w:rFonts w:hint="eastAsia"/>
                <w:b/>
                <w:color w:val="auto"/>
                <w:highlight w:val="none"/>
              </w:rPr>
            </w:pPr>
            <w:r>
              <w:rPr>
                <w:rFonts w:hint="eastAsia"/>
                <w:b/>
                <w:color w:val="auto"/>
                <w:highlight w:val="none"/>
              </w:rPr>
            </w:r>
            <w:r/>
          </w:p>
          <w:p>
            <w:pPr>
              <w:pStyle w:val="1125"/>
              <w:ind w:left="226"/>
              <w:rPr>
                <w:rFonts w:hint="eastAsia"/>
                <w:color w:val="auto"/>
                <w:highlight w:val="none"/>
              </w:rPr>
            </w:pPr>
            <w:r>
              <w:rPr>
                <w:rFonts w:hint="eastAsia"/>
                <w:color w:val="auto"/>
                <w:highlight w:val="none"/>
              </w:rPr>
              <w:t xml:space="preserve">年龄</w:t>
            </w:r>
            <w:r/>
          </w:p>
        </w:tc>
        <w:tc>
          <w:tcPr>
            <w:tcW w:w="718" w:type="dxa"/>
            <w:textDirection w:val="lrTb"/>
            <w:noWrap w:val="false"/>
          </w:tcPr>
          <w:p>
            <w:pPr>
              <w:pStyle w:val="1125"/>
              <w:spacing w:before="8"/>
              <w:rPr>
                <w:rFonts w:hint="eastAsia"/>
                <w:b/>
                <w:color w:val="auto"/>
                <w:highlight w:val="none"/>
              </w:rPr>
            </w:pPr>
            <w:r>
              <w:rPr>
                <w:rFonts w:hint="eastAsia"/>
                <w:b/>
                <w:color w:val="auto"/>
                <w:highlight w:val="none"/>
              </w:rPr>
            </w:r>
            <w:r/>
          </w:p>
          <w:p>
            <w:pPr>
              <w:pStyle w:val="1125"/>
              <w:ind w:left="200"/>
              <w:rPr>
                <w:rFonts w:hint="eastAsia"/>
                <w:color w:val="auto"/>
                <w:highlight w:val="none"/>
              </w:rPr>
            </w:pPr>
            <w:r>
              <w:rPr>
                <w:rFonts w:hint="eastAsia"/>
                <w:color w:val="auto"/>
                <w:highlight w:val="none"/>
              </w:rPr>
              <w:t xml:space="preserve">职称</w:t>
            </w:r>
            <w:r/>
          </w:p>
        </w:tc>
        <w:tc>
          <w:tcPr>
            <w:tcW w:w="1319" w:type="dxa"/>
            <w:textDirection w:val="lrTb"/>
            <w:noWrap w:val="false"/>
          </w:tcPr>
          <w:p>
            <w:pPr>
              <w:pStyle w:val="1125"/>
              <w:spacing w:before="8"/>
              <w:rPr>
                <w:rFonts w:hint="eastAsia"/>
                <w:b/>
                <w:color w:val="auto"/>
                <w:highlight w:val="none"/>
              </w:rPr>
            </w:pPr>
            <w:r>
              <w:rPr>
                <w:rFonts w:hint="eastAsia"/>
                <w:b/>
                <w:color w:val="auto"/>
                <w:highlight w:val="none"/>
              </w:rPr>
            </w:r>
            <w:r/>
          </w:p>
          <w:p>
            <w:pPr>
              <w:pStyle w:val="1125"/>
              <w:ind w:left="307"/>
              <w:rPr>
                <w:rFonts w:hint="eastAsia"/>
                <w:color w:val="auto"/>
                <w:highlight w:val="none"/>
              </w:rPr>
            </w:pPr>
            <w:r>
              <w:rPr>
                <w:rFonts w:hint="eastAsia"/>
                <w:color w:val="auto"/>
                <w:highlight w:val="none"/>
              </w:rPr>
              <w:t xml:space="preserve">专业/资格</w:t>
            </w:r>
            <w:r/>
          </w:p>
        </w:tc>
        <w:tc>
          <w:tcPr>
            <w:tcW w:w="1186" w:type="dxa"/>
            <w:textDirection w:val="lrTb"/>
            <w:noWrap w:val="false"/>
          </w:tcPr>
          <w:p>
            <w:pPr>
              <w:pStyle w:val="1125"/>
              <w:ind w:left="469" w:right="146" w:hanging="315"/>
              <w:spacing w:before="134" w:line="278" w:lineRule="auto"/>
              <w:rPr>
                <w:rFonts w:hint="eastAsia"/>
                <w:color w:val="auto"/>
                <w:highlight w:val="none"/>
              </w:rPr>
            </w:pPr>
            <w:r>
              <w:rPr>
                <w:rFonts w:hint="eastAsia"/>
                <w:color w:val="auto"/>
                <w:highlight w:val="none"/>
              </w:rPr>
              <w:t xml:space="preserve">从事本工作时间</w:t>
            </w:r>
            <w:r/>
          </w:p>
        </w:tc>
        <w:tc>
          <w:tcPr>
            <w:tcW w:w="1422" w:type="dxa"/>
            <w:textDirection w:val="lrTb"/>
            <w:noWrap w:val="false"/>
          </w:tcPr>
          <w:p>
            <w:pPr>
              <w:pStyle w:val="1125"/>
              <w:ind w:left="292" w:right="280" w:firstLine="103"/>
              <w:spacing w:before="134" w:line="278" w:lineRule="auto"/>
              <w:rPr>
                <w:rFonts w:hint="eastAsia"/>
                <w:color w:val="auto"/>
                <w:highlight w:val="none"/>
              </w:rPr>
            </w:pPr>
            <w:r>
              <w:rPr>
                <w:rFonts w:hint="eastAsia"/>
                <w:color w:val="auto"/>
                <w:highlight w:val="none"/>
              </w:rPr>
              <w:t xml:space="preserve">典型业务与技术专长</w:t>
            </w:r>
            <w:r/>
          </w:p>
        </w:tc>
      </w:tr>
      <w:tr>
        <w:trPr>
          <w:trHeight w:val="539"/>
        </w:trPr>
        <w:tc>
          <w:tcPr>
            <w:tcW w:w="711" w:type="dxa"/>
            <w:textDirection w:val="lrTb"/>
            <w:noWrap w:val="false"/>
          </w:tcPr>
          <w:p>
            <w:pPr>
              <w:pStyle w:val="1125"/>
              <w:ind w:left="7"/>
              <w:jc w:val="center"/>
              <w:spacing w:before="163"/>
              <w:rPr>
                <w:rFonts w:hint="eastAsia"/>
                <w:color w:val="auto"/>
                <w:highlight w:val="none"/>
              </w:rPr>
            </w:pPr>
            <w:r>
              <w:rPr>
                <w:rFonts w:hint="eastAsia"/>
                <w:color w:val="auto"/>
                <w:highlight w:val="none"/>
              </w:rPr>
              <w:t xml:space="preserve">1</w:t>
            </w:r>
            <w:r/>
          </w:p>
        </w:tc>
        <w:tc>
          <w:tcPr>
            <w:tcW w:w="1138" w:type="dxa"/>
            <w:textDirection w:val="lrTb"/>
            <w:noWrap w:val="false"/>
          </w:tcPr>
          <w:p>
            <w:pPr>
              <w:pStyle w:val="1125"/>
              <w:rPr>
                <w:rFonts w:hint="eastAsia"/>
                <w:color w:val="auto"/>
                <w:sz w:val="20"/>
                <w:highlight w:val="none"/>
              </w:rPr>
            </w:pPr>
            <w:r>
              <w:rPr>
                <w:rFonts w:hint="eastAsia"/>
                <w:color w:val="auto"/>
                <w:sz w:val="20"/>
                <w:highlight w:val="none"/>
              </w:rPr>
            </w:r>
            <w:r/>
          </w:p>
        </w:tc>
        <w:tc>
          <w:tcPr>
            <w:tcW w:w="98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1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60"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18"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319"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18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422" w:type="dxa"/>
            <w:textDirection w:val="lrTb"/>
            <w:noWrap w:val="false"/>
          </w:tcPr>
          <w:p>
            <w:pPr>
              <w:pStyle w:val="1125"/>
              <w:rPr>
                <w:rFonts w:hint="eastAsia"/>
                <w:color w:val="auto"/>
                <w:sz w:val="20"/>
                <w:highlight w:val="none"/>
              </w:rPr>
            </w:pPr>
            <w:r>
              <w:rPr>
                <w:rFonts w:hint="eastAsia"/>
                <w:color w:val="auto"/>
                <w:sz w:val="20"/>
                <w:highlight w:val="none"/>
              </w:rPr>
            </w:r>
            <w:r/>
          </w:p>
        </w:tc>
      </w:tr>
      <w:tr>
        <w:trPr>
          <w:trHeight w:val="539"/>
        </w:trPr>
        <w:tc>
          <w:tcPr>
            <w:tcW w:w="711" w:type="dxa"/>
            <w:textDirection w:val="lrTb"/>
            <w:noWrap w:val="false"/>
          </w:tcPr>
          <w:p>
            <w:pPr>
              <w:pStyle w:val="1125"/>
              <w:ind w:left="7"/>
              <w:jc w:val="center"/>
              <w:spacing w:before="162"/>
              <w:rPr>
                <w:rFonts w:hint="eastAsia"/>
                <w:color w:val="auto"/>
                <w:highlight w:val="none"/>
              </w:rPr>
            </w:pPr>
            <w:r>
              <w:rPr>
                <w:rFonts w:hint="eastAsia"/>
                <w:color w:val="auto"/>
                <w:highlight w:val="none"/>
              </w:rPr>
              <w:t xml:space="preserve">2</w:t>
            </w:r>
            <w:r/>
          </w:p>
        </w:tc>
        <w:tc>
          <w:tcPr>
            <w:tcW w:w="1138" w:type="dxa"/>
            <w:textDirection w:val="lrTb"/>
            <w:noWrap w:val="false"/>
          </w:tcPr>
          <w:p>
            <w:pPr>
              <w:pStyle w:val="1125"/>
              <w:rPr>
                <w:rFonts w:hint="eastAsia"/>
                <w:color w:val="auto"/>
                <w:sz w:val="20"/>
                <w:highlight w:val="none"/>
              </w:rPr>
            </w:pPr>
            <w:r>
              <w:rPr>
                <w:rFonts w:hint="eastAsia"/>
                <w:color w:val="auto"/>
                <w:sz w:val="20"/>
                <w:highlight w:val="none"/>
              </w:rPr>
            </w:r>
            <w:r/>
          </w:p>
        </w:tc>
        <w:tc>
          <w:tcPr>
            <w:tcW w:w="98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1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60"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18"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319"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18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422" w:type="dxa"/>
            <w:textDirection w:val="lrTb"/>
            <w:noWrap w:val="false"/>
          </w:tcPr>
          <w:p>
            <w:pPr>
              <w:pStyle w:val="1125"/>
              <w:rPr>
                <w:rFonts w:hint="eastAsia"/>
                <w:color w:val="auto"/>
                <w:sz w:val="20"/>
                <w:highlight w:val="none"/>
              </w:rPr>
            </w:pPr>
            <w:r>
              <w:rPr>
                <w:rFonts w:hint="eastAsia"/>
                <w:color w:val="auto"/>
                <w:sz w:val="20"/>
                <w:highlight w:val="none"/>
              </w:rPr>
            </w:r>
            <w:r/>
          </w:p>
        </w:tc>
      </w:tr>
      <w:tr>
        <w:trPr>
          <w:trHeight w:val="539"/>
        </w:trPr>
        <w:tc>
          <w:tcPr>
            <w:tcW w:w="711" w:type="dxa"/>
            <w:textDirection w:val="lrTb"/>
            <w:noWrap w:val="false"/>
          </w:tcPr>
          <w:p>
            <w:pPr>
              <w:pStyle w:val="1125"/>
              <w:ind w:left="7"/>
              <w:jc w:val="center"/>
              <w:spacing w:before="161"/>
              <w:rPr>
                <w:rFonts w:hint="eastAsia"/>
                <w:color w:val="auto"/>
                <w:highlight w:val="none"/>
              </w:rPr>
            </w:pPr>
            <w:r>
              <w:rPr>
                <w:rFonts w:hint="eastAsia"/>
                <w:color w:val="auto"/>
                <w:highlight w:val="none"/>
              </w:rPr>
              <w:t xml:space="preserve">3</w:t>
            </w:r>
            <w:r/>
          </w:p>
        </w:tc>
        <w:tc>
          <w:tcPr>
            <w:tcW w:w="1138" w:type="dxa"/>
            <w:textDirection w:val="lrTb"/>
            <w:noWrap w:val="false"/>
          </w:tcPr>
          <w:p>
            <w:pPr>
              <w:pStyle w:val="1125"/>
              <w:rPr>
                <w:rFonts w:hint="eastAsia"/>
                <w:color w:val="auto"/>
                <w:sz w:val="20"/>
                <w:highlight w:val="none"/>
              </w:rPr>
            </w:pPr>
            <w:r>
              <w:rPr>
                <w:rFonts w:hint="eastAsia"/>
                <w:color w:val="auto"/>
                <w:sz w:val="20"/>
                <w:highlight w:val="none"/>
              </w:rPr>
            </w:r>
            <w:r/>
          </w:p>
        </w:tc>
        <w:tc>
          <w:tcPr>
            <w:tcW w:w="98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1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60"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18"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319"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18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422" w:type="dxa"/>
            <w:textDirection w:val="lrTb"/>
            <w:noWrap w:val="false"/>
          </w:tcPr>
          <w:p>
            <w:pPr>
              <w:pStyle w:val="1125"/>
              <w:rPr>
                <w:rFonts w:hint="eastAsia"/>
                <w:color w:val="auto"/>
                <w:sz w:val="20"/>
                <w:highlight w:val="none"/>
              </w:rPr>
            </w:pPr>
            <w:r>
              <w:rPr>
                <w:rFonts w:hint="eastAsia"/>
                <w:color w:val="auto"/>
                <w:sz w:val="20"/>
                <w:highlight w:val="none"/>
              </w:rPr>
            </w:r>
            <w:r/>
          </w:p>
        </w:tc>
      </w:tr>
      <w:tr>
        <w:trPr>
          <w:trHeight w:val="538"/>
        </w:trPr>
        <w:tc>
          <w:tcPr>
            <w:tcW w:w="711" w:type="dxa"/>
            <w:textDirection w:val="lrTb"/>
            <w:noWrap w:val="false"/>
          </w:tcPr>
          <w:p>
            <w:pPr>
              <w:pStyle w:val="1125"/>
              <w:ind w:left="7"/>
              <w:jc w:val="center"/>
              <w:spacing w:before="162"/>
              <w:rPr>
                <w:rFonts w:hint="eastAsia"/>
                <w:color w:val="auto"/>
                <w:highlight w:val="none"/>
              </w:rPr>
            </w:pPr>
            <w:r>
              <w:rPr>
                <w:rFonts w:hint="eastAsia"/>
                <w:color w:val="auto"/>
                <w:highlight w:val="none"/>
              </w:rPr>
              <w:t xml:space="preserve">4</w:t>
            </w:r>
            <w:r/>
          </w:p>
        </w:tc>
        <w:tc>
          <w:tcPr>
            <w:tcW w:w="1138" w:type="dxa"/>
            <w:textDirection w:val="lrTb"/>
            <w:noWrap w:val="false"/>
          </w:tcPr>
          <w:p>
            <w:pPr>
              <w:pStyle w:val="1125"/>
              <w:rPr>
                <w:rFonts w:hint="eastAsia"/>
                <w:color w:val="auto"/>
                <w:sz w:val="20"/>
                <w:highlight w:val="none"/>
              </w:rPr>
            </w:pPr>
            <w:r>
              <w:rPr>
                <w:rFonts w:hint="eastAsia"/>
                <w:color w:val="auto"/>
                <w:sz w:val="20"/>
                <w:highlight w:val="none"/>
              </w:rPr>
            </w:r>
            <w:r/>
          </w:p>
        </w:tc>
        <w:tc>
          <w:tcPr>
            <w:tcW w:w="98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1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60"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18"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319"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18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422" w:type="dxa"/>
            <w:textDirection w:val="lrTb"/>
            <w:noWrap w:val="false"/>
          </w:tcPr>
          <w:p>
            <w:pPr>
              <w:pStyle w:val="1125"/>
              <w:rPr>
                <w:rFonts w:hint="eastAsia"/>
                <w:color w:val="auto"/>
                <w:sz w:val="20"/>
                <w:highlight w:val="none"/>
              </w:rPr>
            </w:pPr>
            <w:r>
              <w:rPr>
                <w:rFonts w:hint="eastAsia"/>
                <w:color w:val="auto"/>
                <w:sz w:val="20"/>
                <w:highlight w:val="none"/>
              </w:rPr>
            </w:r>
            <w:r/>
          </w:p>
        </w:tc>
      </w:tr>
      <w:tr>
        <w:trPr>
          <w:trHeight w:val="539"/>
        </w:trPr>
        <w:tc>
          <w:tcPr>
            <w:tcW w:w="711" w:type="dxa"/>
            <w:textDirection w:val="lrTb"/>
            <w:noWrap w:val="false"/>
          </w:tcPr>
          <w:p>
            <w:pPr>
              <w:pStyle w:val="1125"/>
              <w:ind w:left="7"/>
              <w:jc w:val="center"/>
              <w:spacing w:before="161"/>
              <w:rPr>
                <w:rFonts w:hint="eastAsia"/>
                <w:color w:val="auto"/>
                <w:highlight w:val="none"/>
              </w:rPr>
            </w:pPr>
            <w:r>
              <w:rPr>
                <w:rFonts w:hint="eastAsia"/>
                <w:color w:val="auto"/>
                <w:highlight w:val="none"/>
              </w:rPr>
              <w:t xml:space="preserve">5</w:t>
            </w:r>
            <w:r/>
          </w:p>
        </w:tc>
        <w:tc>
          <w:tcPr>
            <w:tcW w:w="1138" w:type="dxa"/>
            <w:textDirection w:val="lrTb"/>
            <w:noWrap w:val="false"/>
          </w:tcPr>
          <w:p>
            <w:pPr>
              <w:pStyle w:val="1125"/>
              <w:rPr>
                <w:rFonts w:hint="eastAsia"/>
                <w:color w:val="auto"/>
                <w:sz w:val="20"/>
                <w:highlight w:val="none"/>
              </w:rPr>
            </w:pPr>
            <w:r>
              <w:rPr>
                <w:rFonts w:hint="eastAsia"/>
                <w:color w:val="auto"/>
                <w:sz w:val="20"/>
                <w:highlight w:val="none"/>
              </w:rPr>
            </w:r>
            <w:r/>
          </w:p>
        </w:tc>
        <w:tc>
          <w:tcPr>
            <w:tcW w:w="98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1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60"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18"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319"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18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422" w:type="dxa"/>
            <w:textDirection w:val="lrTb"/>
            <w:noWrap w:val="false"/>
          </w:tcPr>
          <w:p>
            <w:pPr>
              <w:pStyle w:val="1125"/>
              <w:rPr>
                <w:rFonts w:hint="eastAsia"/>
                <w:color w:val="auto"/>
                <w:sz w:val="20"/>
                <w:highlight w:val="none"/>
              </w:rPr>
            </w:pPr>
            <w:r>
              <w:rPr>
                <w:rFonts w:hint="eastAsia"/>
                <w:color w:val="auto"/>
                <w:sz w:val="20"/>
                <w:highlight w:val="none"/>
              </w:rPr>
            </w:r>
            <w:r/>
          </w:p>
        </w:tc>
      </w:tr>
      <w:tr>
        <w:trPr>
          <w:trHeight w:val="538"/>
        </w:trPr>
        <w:tc>
          <w:tcPr>
            <w:tcW w:w="711" w:type="dxa"/>
            <w:textDirection w:val="lrTb"/>
            <w:noWrap w:val="false"/>
          </w:tcPr>
          <w:p>
            <w:pPr>
              <w:pStyle w:val="1125"/>
              <w:ind w:left="7"/>
              <w:jc w:val="center"/>
              <w:spacing w:before="162"/>
              <w:rPr>
                <w:rFonts w:hint="eastAsia"/>
                <w:color w:val="auto"/>
                <w:highlight w:val="none"/>
              </w:rPr>
            </w:pPr>
            <w:r>
              <w:rPr>
                <w:rFonts w:hint="eastAsia"/>
                <w:color w:val="auto"/>
                <w:highlight w:val="none"/>
              </w:rPr>
              <w:t xml:space="preserve">6</w:t>
            </w:r>
            <w:r/>
          </w:p>
        </w:tc>
        <w:tc>
          <w:tcPr>
            <w:tcW w:w="1138" w:type="dxa"/>
            <w:textDirection w:val="lrTb"/>
            <w:noWrap w:val="false"/>
          </w:tcPr>
          <w:p>
            <w:pPr>
              <w:pStyle w:val="1125"/>
              <w:rPr>
                <w:rFonts w:hint="eastAsia"/>
                <w:color w:val="auto"/>
                <w:sz w:val="20"/>
                <w:highlight w:val="none"/>
              </w:rPr>
            </w:pPr>
            <w:r>
              <w:rPr>
                <w:rFonts w:hint="eastAsia"/>
                <w:color w:val="auto"/>
                <w:sz w:val="20"/>
                <w:highlight w:val="none"/>
              </w:rPr>
            </w:r>
            <w:r/>
          </w:p>
        </w:tc>
        <w:tc>
          <w:tcPr>
            <w:tcW w:w="98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1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60"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18"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319"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18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422" w:type="dxa"/>
            <w:textDirection w:val="lrTb"/>
            <w:noWrap w:val="false"/>
          </w:tcPr>
          <w:p>
            <w:pPr>
              <w:pStyle w:val="1125"/>
              <w:rPr>
                <w:rFonts w:hint="eastAsia"/>
                <w:color w:val="auto"/>
                <w:sz w:val="20"/>
                <w:highlight w:val="none"/>
              </w:rPr>
            </w:pPr>
            <w:r>
              <w:rPr>
                <w:rFonts w:hint="eastAsia"/>
                <w:color w:val="auto"/>
                <w:sz w:val="20"/>
                <w:highlight w:val="none"/>
              </w:rPr>
            </w:r>
            <w:r/>
          </w:p>
        </w:tc>
      </w:tr>
      <w:tr>
        <w:trPr>
          <w:trHeight w:val="548"/>
        </w:trPr>
        <w:tc>
          <w:tcPr>
            <w:tcW w:w="711" w:type="dxa"/>
            <w:textDirection w:val="lrTb"/>
            <w:noWrap w:val="false"/>
          </w:tcPr>
          <w:p>
            <w:pPr>
              <w:pStyle w:val="1125"/>
              <w:ind w:left="6"/>
              <w:jc w:val="center"/>
              <w:spacing w:before="161"/>
              <w:rPr>
                <w:rFonts w:hint="eastAsia"/>
                <w:color w:val="auto"/>
                <w:highlight w:val="none"/>
              </w:rPr>
            </w:pPr>
            <w:r>
              <w:rPr>
                <w:rFonts w:hint="eastAsia"/>
                <w:color w:val="auto"/>
                <w:highlight w:val="none"/>
              </w:rPr>
              <w:t xml:space="preserve">…</w:t>
            </w:r>
            <w:r/>
          </w:p>
        </w:tc>
        <w:tc>
          <w:tcPr>
            <w:tcW w:w="1138" w:type="dxa"/>
            <w:textDirection w:val="lrTb"/>
            <w:noWrap w:val="false"/>
          </w:tcPr>
          <w:p>
            <w:pPr>
              <w:pStyle w:val="1125"/>
              <w:rPr>
                <w:rFonts w:hint="eastAsia"/>
                <w:color w:val="auto"/>
                <w:sz w:val="20"/>
                <w:highlight w:val="none"/>
              </w:rPr>
            </w:pPr>
            <w:r>
              <w:rPr>
                <w:rFonts w:hint="eastAsia"/>
                <w:color w:val="auto"/>
                <w:sz w:val="20"/>
                <w:highlight w:val="none"/>
              </w:rPr>
            </w:r>
            <w:r/>
          </w:p>
        </w:tc>
        <w:tc>
          <w:tcPr>
            <w:tcW w:w="98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1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60" w:type="dxa"/>
            <w:textDirection w:val="lrTb"/>
            <w:noWrap w:val="false"/>
          </w:tcPr>
          <w:p>
            <w:pPr>
              <w:pStyle w:val="1125"/>
              <w:rPr>
                <w:rFonts w:hint="eastAsia"/>
                <w:color w:val="auto"/>
                <w:sz w:val="20"/>
                <w:highlight w:val="none"/>
              </w:rPr>
            </w:pPr>
            <w:r>
              <w:rPr>
                <w:rFonts w:hint="eastAsia"/>
                <w:color w:val="auto"/>
                <w:sz w:val="20"/>
                <w:highlight w:val="none"/>
              </w:rPr>
            </w:r>
            <w:r/>
          </w:p>
        </w:tc>
        <w:tc>
          <w:tcPr>
            <w:tcW w:w="718"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319"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186"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422" w:type="dxa"/>
            <w:textDirection w:val="lrTb"/>
            <w:noWrap w:val="false"/>
          </w:tcPr>
          <w:p>
            <w:pPr>
              <w:pStyle w:val="1125"/>
              <w:rPr>
                <w:rFonts w:hint="eastAsia"/>
                <w:color w:val="auto"/>
                <w:sz w:val="20"/>
                <w:highlight w:val="none"/>
              </w:rPr>
            </w:pPr>
            <w:r>
              <w:rPr>
                <w:rFonts w:hint="eastAsia"/>
                <w:color w:val="auto"/>
                <w:sz w:val="20"/>
                <w:highlight w:val="none"/>
              </w:rPr>
            </w:r>
            <w:r/>
          </w:p>
        </w:tc>
      </w:tr>
    </w:tbl>
    <w:p>
      <w:pPr>
        <w:pStyle w:val="1094"/>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highlight w:val="none"/>
        </w:rPr>
      </w:pPr>
      <w:r>
        <w:rPr>
          <w:rFonts w:hint="eastAsia" w:ascii="宋体" w:hAnsi="宋体" w:cs="宋体"/>
          <w:color w:val="auto"/>
          <w:highlight w:val="none"/>
        </w:rPr>
        <w:t xml:space="preserve">磋商响应单位（盖章）：     </w:t>
      </w:r>
      <w:r/>
    </w:p>
    <w:p>
      <w:pPr>
        <w:rPr>
          <w:rFonts w:hint="eastAsia" w:ascii="宋体" w:hAnsi="宋体" w:cs="宋体"/>
          <w:color w:val="auto"/>
          <w:spacing w:val="20"/>
          <w:highlight w:val="none"/>
        </w:rPr>
      </w:pPr>
      <w:r>
        <w:rPr>
          <w:rFonts w:hint="eastAsia" w:ascii="宋体" w:hAnsi="宋体" w:cs="宋体"/>
          <w:color w:val="auto"/>
          <w:spacing w:val="20"/>
          <w:highlight w:val="none"/>
        </w:rPr>
        <w:t xml:space="preserve">法定代表人或委托代理人：（签字或盖章）                   </w:t>
      </w:r>
      <w:r/>
    </w:p>
    <w:p>
      <w:pPr>
        <w:rPr>
          <w:rFonts w:hint="eastAsia" w:ascii="宋体" w:hAnsi="宋体" w:cs="宋体"/>
          <w:color w:val="auto"/>
          <w:spacing w:val="20"/>
          <w:highlight w:val="none"/>
        </w:rPr>
      </w:pPr>
      <w:r>
        <w:rPr>
          <w:rFonts w:hint="eastAsia" w:ascii="宋体" w:hAnsi="宋体" w:cs="宋体"/>
          <w:color w:val="auto"/>
          <w:spacing w:val="20"/>
          <w:highlight w:val="none"/>
        </w:rPr>
        <w:t xml:space="preserve">日期：</w:t>
      </w:r>
      <w:r/>
    </w:p>
    <w:p>
      <w:pPr>
        <w:rPr>
          <w:rFonts w:hint="eastAsia" w:ascii="宋体" w:hAnsi="宋体" w:cs="宋体"/>
          <w:color w:val="auto"/>
          <w:highlight w:val="none"/>
        </w:rPr>
      </w:pPr>
      <w:r>
        <w:rPr>
          <w:rFonts w:hint="eastAsia" w:ascii="宋体" w:hAnsi="宋体" w:cs="宋体"/>
          <w:color w:val="auto"/>
          <w:highlight w:val="none"/>
        </w:rPr>
        <w:t xml:space="preserve">注：采购单位可参照上述格式自行设计表格投标。“项目组人员”指响应单位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pStyle w:val="1103"/>
        <w:rPr>
          <w:color w:val="auto"/>
          <w:highlight w:val="none"/>
        </w:rPr>
      </w:pPr>
      <w:r>
        <w:rPr>
          <w:color w:val="auto"/>
          <w:highlight w:val="none"/>
        </w:rPr>
      </w:r>
      <w:r/>
    </w:p>
    <w:p>
      <w:pPr>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ind w:left="1254" w:right="1244"/>
        <w:jc w:val="center"/>
        <w:spacing w:before="81"/>
        <w:rPr>
          <w:rFonts w:hint="eastAsia" w:ascii="宋体" w:hAnsi="宋体" w:cs="宋体"/>
          <w:b/>
          <w:color w:val="auto"/>
          <w:sz w:val="24"/>
          <w:highlight w:val="none"/>
        </w:rPr>
      </w:pPr>
      <w:r>
        <w:rPr>
          <w:rFonts w:hint="eastAsia" w:ascii="宋体" w:hAnsi="宋体" w:cs="宋体"/>
          <w:b/>
          <w:color w:val="auto"/>
          <w:highlight w:val="none"/>
        </w:rPr>
        <w:t xml:space="preserve">（2）</w:t>
      </w:r>
      <w:r>
        <w:rPr>
          <w:rFonts w:hint="eastAsia" w:ascii="宋体" w:hAnsi="宋体" w:cs="宋体"/>
          <w:b/>
          <w:color w:val="auto"/>
          <w:sz w:val="24"/>
          <w:highlight w:val="none"/>
        </w:rPr>
        <w:t xml:space="preserve">项目负责人情况一览表</w:t>
      </w:r>
      <w:r/>
    </w:p>
    <w:p>
      <w:pPr>
        <w:pStyle w:val="1094"/>
        <w:rPr>
          <w:rFonts w:hint="eastAsia" w:ascii="宋体" w:hAnsi="宋体" w:cs="宋体"/>
          <w:b/>
          <w:color w:val="auto"/>
          <w:sz w:val="20"/>
          <w:highlight w:val="none"/>
        </w:rPr>
      </w:pPr>
      <w:r>
        <w:rPr>
          <w:rFonts w:hint="eastAsia" w:ascii="宋体" w:hAnsi="宋体" w:cs="宋体"/>
          <w:b/>
          <w:color w:val="auto"/>
          <w:sz w:val="20"/>
          <w:highlight w:val="none"/>
        </w:rPr>
      </w:r>
      <w:r/>
    </w:p>
    <w:tbl>
      <w:tblPr>
        <w:tblStyle w:val="1092"/>
        <w:tblpPr w:horzAnchor="page" w:tblpX="1536" w:vertAnchor="text" w:tblpY="345"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8"/>
        <w:gridCol w:w="1851"/>
        <w:gridCol w:w="1329"/>
        <w:gridCol w:w="1065"/>
        <w:gridCol w:w="1083"/>
        <w:gridCol w:w="1254"/>
        <w:gridCol w:w="1818"/>
      </w:tblGrid>
      <w:tr>
        <w:trPr>
          <w:trHeight w:val="594"/>
        </w:trPr>
        <w:tc>
          <w:tcPr>
            <w:tcW w:w="628" w:type="dxa"/>
            <w:textDirection w:val="lrTb"/>
            <w:noWrap w:val="false"/>
          </w:tcPr>
          <w:p>
            <w:pPr>
              <w:pStyle w:val="1125"/>
              <w:ind w:left="261"/>
              <w:spacing w:before="161"/>
              <w:rPr>
                <w:rFonts w:hint="eastAsia"/>
                <w:color w:val="auto"/>
                <w:highlight w:val="none"/>
              </w:rPr>
            </w:pPr>
            <w:r>
              <w:rPr>
                <w:rFonts w:hint="eastAsia"/>
                <w:color w:val="auto"/>
                <w:highlight w:val="none"/>
              </w:rPr>
              <w:t xml:space="preserve">1</w:t>
            </w:r>
            <w:r/>
          </w:p>
        </w:tc>
        <w:tc>
          <w:tcPr>
            <w:tcW w:w="1851" w:type="dxa"/>
            <w:textDirection w:val="lrTb"/>
            <w:noWrap w:val="false"/>
          </w:tcPr>
          <w:p>
            <w:pPr>
              <w:pStyle w:val="1125"/>
              <w:ind w:left="11"/>
              <w:jc w:val="center"/>
              <w:spacing w:before="161"/>
              <w:tabs>
                <w:tab w:val="left" w:pos="851" w:leader="none"/>
              </w:tabs>
              <w:rPr>
                <w:rFonts w:hint="eastAsia"/>
                <w:color w:val="auto"/>
                <w:highlight w:val="none"/>
              </w:rPr>
            </w:pPr>
            <w:r>
              <w:rPr>
                <w:rFonts w:hint="eastAsia"/>
                <w:color w:val="auto"/>
                <w:highlight w:val="none"/>
              </w:rPr>
              <w:t xml:space="preserve">姓</w:t>
            </w:r>
            <w:r>
              <w:rPr>
                <w:rFonts w:hint="eastAsia"/>
                <w:color w:val="auto"/>
                <w:highlight w:val="none"/>
              </w:rPr>
              <w:tab/>
            </w:r>
            <w:r>
              <w:rPr>
                <w:rFonts w:hint="eastAsia"/>
                <w:color w:val="auto"/>
                <w:highlight w:val="none"/>
              </w:rPr>
              <w:t xml:space="preserve">名</w:t>
            </w:r>
            <w:r/>
          </w:p>
        </w:tc>
        <w:tc>
          <w:tcPr>
            <w:gridSpan w:val="2"/>
            <w:tcW w:w="2394"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083" w:type="dxa"/>
            <w:textDirection w:val="lrTb"/>
            <w:noWrap w:val="false"/>
          </w:tcPr>
          <w:p>
            <w:pPr>
              <w:pStyle w:val="1125"/>
              <w:ind w:left="174"/>
              <w:spacing w:before="161"/>
              <w:tabs>
                <w:tab w:val="left" w:pos="699" w:leader="none"/>
              </w:tabs>
              <w:rPr>
                <w:rFonts w:hint="eastAsia"/>
                <w:color w:val="auto"/>
                <w:highlight w:val="none"/>
              </w:rPr>
            </w:pPr>
            <w:r>
              <w:rPr>
                <w:rFonts w:hint="eastAsia"/>
                <w:color w:val="auto"/>
                <w:highlight w:val="none"/>
              </w:rPr>
              <w:t xml:space="preserve">性</w:t>
            </w:r>
            <w:r>
              <w:rPr>
                <w:rFonts w:hint="eastAsia"/>
                <w:color w:val="auto"/>
                <w:highlight w:val="none"/>
              </w:rPr>
              <w:tab/>
            </w:r>
            <w:r>
              <w:rPr>
                <w:rFonts w:hint="eastAsia"/>
                <w:color w:val="auto"/>
                <w:highlight w:val="none"/>
              </w:rPr>
              <w:t xml:space="preserve">别</w:t>
            </w:r>
            <w:r/>
          </w:p>
        </w:tc>
        <w:tc>
          <w:tcPr>
            <w:gridSpan w:val="2"/>
            <w:tcW w:w="3072" w:type="dxa"/>
            <w:textDirection w:val="lrTb"/>
            <w:noWrap w:val="false"/>
          </w:tcPr>
          <w:p>
            <w:pPr>
              <w:pStyle w:val="1125"/>
              <w:rPr>
                <w:rFonts w:hint="eastAsia"/>
                <w:color w:val="auto"/>
                <w:sz w:val="20"/>
                <w:highlight w:val="none"/>
              </w:rPr>
            </w:pPr>
            <w:r>
              <w:rPr>
                <w:rFonts w:hint="eastAsia"/>
                <w:color w:val="auto"/>
                <w:sz w:val="20"/>
                <w:highlight w:val="none"/>
              </w:rPr>
            </w:r>
            <w:r/>
          </w:p>
        </w:tc>
      </w:tr>
      <w:tr>
        <w:trPr>
          <w:trHeight w:val="645"/>
        </w:trPr>
        <w:tc>
          <w:tcPr>
            <w:tcW w:w="628" w:type="dxa"/>
            <w:textDirection w:val="lrTb"/>
            <w:noWrap w:val="false"/>
          </w:tcPr>
          <w:p>
            <w:pPr>
              <w:pStyle w:val="1125"/>
              <w:spacing w:before="8"/>
              <w:rPr>
                <w:rFonts w:hint="eastAsia"/>
                <w:b/>
                <w:color w:val="auto"/>
                <w:sz w:val="14"/>
                <w:highlight w:val="none"/>
              </w:rPr>
            </w:pPr>
            <w:r>
              <w:rPr>
                <w:rFonts w:hint="eastAsia"/>
                <w:b/>
                <w:color w:val="auto"/>
                <w:sz w:val="14"/>
                <w:highlight w:val="none"/>
              </w:rPr>
            </w:r>
            <w:r/>
          </w:p>
          <w:p>
            <w:pPr>
              <w:pStyle w:val="1125"/>
              <w:ind w:left="261"/>
              <w:rPr>
                <w:rFonts w:hint="eastAsia"/>
                <w:color w:val="auto"/>
                <w:highlight w:val="none"/>
              </w:rPr>
            </w:pPr>
            <w:r>
              <w:rPr>
                <w:rFonts w:hint="eastAsia"/>
                <w:color w:val="auto"/>
                <w:highlight w:val="none"/>
              </w:rPr>
              <w:t xml:space="preserve">2</w:t>
            </w:r>
            <w:r/>
          </w:p>
        </w:tc>
        <w:tc>
          <w:tcPr>
            <w:tcW w:w="1851" w:type="dxa"/>
            <w:textDirection w:val="lrTb"/>
            <w:noWrap w:val="false"/>
          </w:tcPr>
          <w:p>
            <w:pPr>
              <w:pStyle w:val="1125"/>
              <w:spacing w:before="8"/>
              <w:rPr>
                <w:rFonts w:hint="eastAsia"/>
                <w:b/>
                <w:color w:val="auto"/>
                <w:sz w:val="14"/>
                <w:highlight w:val="none"/>
              </w:rPr>
            </w:pPr>
            <w:r>
              <w:rPr>
                <w:rFonts w:hint="eastAsia"/>
                <w:b/>
                <w:color w:val="auto"/>
                <w:sz w:val="14"/>
                <w:highlight w:val="none"/>
              </w:rPr>
            </w:r>
            <w:r/>
          </w:p>
          <w:p>
            <w:pPr>
              <w:pStyle w:val="1125"/>
              <w:ind w:left="11"/>
              <w:jc w:val="center"/>
              <w:rPr>
                <w:rFonts w:hint="eastAsia"/>
                <w:color w:val="auto"/>
                <w:highlight w:val="none"/>
              </w:rPr>
            </w:pPr>
            <w:r>
              <w:rPr>
                <w:rFonts w:hint="eastAsia"/>
                <w:color w:val="auto"/>
                <w:highlight w:val="none"/>
              </w:rPr>
              <w:t xml:space="preserve">身份证号码</w:t>
            </w:r>
            <w:r/>
          </w:p>
        </w:tc>
        <w:tc>
          <w:tcPr>
            <w:gridSpan w:val="3"/>
            <w:tcW w:w="3477" w:type="dxa"/>
            <w:textDirection w:val="lrTb"/>
            <w:noWrap w:val="false"/>
          </w:tcPr>
          <w:p>
            <w:pPr>
              <w:pStyle w:val="1125"/>
              <w:rPr>
                <w:rFonts w:hint="eastAsia"/>
                <w:color w:val="auto"/>
                <w:sz w:val="20"/>
                <w:highlight w:val="none"/>
              </w:rPr>
            </w:pPr>
            <w:r>
              <w:rPr>
                <w:rFonts w:hint="eastAsia"/>
                <w:color w:val="auto"/>
                <w:sz w:val="20"/>
                <w:highlight w:val="none"/>
              </w:rPr>
            </w:r>
            <w:r/>
          </w:p>
        </w:tc>
        <w:tc>
          <w:tcPr>
            <w:tcW w:w="1254" w:type="dxa"/>
            <w:textDirection w:val="lrTb"/>
            <w:noWrap w:val="false"/>
          </w:tcPr>
          <w:p>
            <w:pPr>
              <w:pStyle w:val="1125"/>
              <w:spacing w:before="8"/>
              <w:rPr>
                <w:rFonts w:hint="eastAsia"/>
                <w:b/>
                <w:color w:val="auto"/>
                <w:sz w:val="14"/>
                <w:highlight w:val="none"/>
              </w:rPr>
            </w:pPr>
            <w:r>
              <w:rPr>
                <w:rFonts w:hint="eastAsia"/>
                <w:b/>
                <w:color w:val="auto"/>
                <w:sz w:val="14"/>
                <w:highlight w:val="none"/>
              </w:rPr>
            </w:r>
            <w:r/>
          </w:p>
          <w:p>
            <w:pPr>
              <w:pStyle w:val="1125"/>
              <w:ind w:left="207"/>
              <w:rPr>
                <w:rFonts w:hint="eastAsia"/>
                <w:color w:val="auto"/>
                <w:highlight w:val="none"/>
              </w:rPr>
            </w:pPr>
            <w:r>
              <w:rPr>
                <w:rFonts w:hint="eastAsia"/>
                <w:color w:val="auto"/>
                <w:highlight w:val="none"/>
              </w:rPr>
              <w:t xml:space="preserve">出生年月</w:t>
            </w:r>
            <w:r/>
          </w:p>
        </w:tc>
        <w:tc>
          <w:tcPr>
            <w:tcW w:w="1818" w:type="dxa"/>
            <w:textDirection w:val="lrTb"/>
            <w:noWrap w:val="false"/>
          </w:tcPr>
          <w:p>
            <w:pPr>
              <w:pStyle w:val="1125"/>
              <w:spacing w:before="8"/>
              <w:rPr>
                <w:rFonts w:hint="eastAsia"/>
                <w:b/>
                <w:color w:val="auto"/>
                <w:sz w:val="14"/>
                <w:highlight w:val="none"/>
              </w:rPr>
            </w:pPr>
            <w:r>
              <w:rPr>
                <w:rFonts w:hint="eastAsia"/>
                <w:b/>
                <w:color w:val="auto"/>
                <w:sz w:val="14"/>
                <w:highlight w:val="none"/>
              </w:rPr>
            </w:r>
            <w:r/>
          </w:p>
          <w:p>
            <w:pPr>
              <w:pStyle w:val="1125"/>
              <w:ind w:left="539"/>
              <w:tabs>
                <w:tab w:val="left" w:pos="1065" w:leader="none"/>
              </w:tabs>
              <w:rPr>
                <w:rFonts w:hint="eastAsia"/>
                <w:color w:val="auto"/>
                <w:highlight w:val="none"/>
              </w:rPr>
            </w:pPr>
            <w:r>
              <w:rPr>
                <w:rFonts w:hint="eastAsia"/>
                <w:color w:val="auto"/>
                <w:highlight w:val="none"/>
              </w:rPr>
              <w:t xml:space="preserve">年</w:t>
            </w:r>
            <w:r>
              <w:rPr>
                <w:rFonts w:hint="eastAsia"/>
                <w:color w:val="auto"/>
                <w:highlight w:val="none"/>
              </w:rPr>
              <w:tab/>
            </w:r>
            <w:r>
              <w:rPr>
                <w:rFonts w:hint="eastAsia"/>
                <w:color w:val="auto"/>
                <w:highlight w:val="none"/>
              </w:rPr>
              <w:t xml:space="preserve">月</w:t>
            </w:r>
            <w:r/>
          </w:p>
        </w:tc>
      </w:tr>
      <w:tr>
        <w:trPr>
          <w:trHeight w:val="645"/>
        </w:trPr>
        <w:tc>
          <w:tcPr>
            <w:tcW w:w="628" w:type="dxa"/>
            <w:textDirection w:val="lrTb"/>
            <w:noWrap w:val="false"/>
          </w:tcPr>
          <w:p>
            <w:pPr>
              <w:pStyle w:val="1125"/>
              <w:spacing w:before="8"/>
              <w:rPr>
                <w:rFonts w:hint="eastAsia"/>
                <w:b/>
                <w:color w:val="auto"/>
                <w:sz w:val="14"/>
                <w:highlight w:val="none"/>
              </w:rPr>
            </w:pPr>
            <w:r>
              <w:rPr>
                <w:rFonts w:hint="eastAsia"/>
                <w:b/>
                <w:color w:val="auto"/>
                <w:sz w:val="14"/>
                <w:highlight w:val="none"/>
              </w:rPr>
            </w:r>
            <w:r/>
          </w:p>
          <w:p>
            <w:pPr>
              <w:pStyle w:val="1125"/>
              <w:ind w:left="261"/>
              <w:rPr>
                <w:rFonts w:hint="eastAsia"/>
                <w:color w:val="auto"/>
                <w:highlight w:val="none"/>
              </w:rPr>
            </w:pPr>
            <w:r>
              <w:rPr>
                <w:rFonts w:hint="eastAsia"/>
                <w:color w:val="auto"/>
                <w:highlight w:val="none"/>
              </w:rPr>
              <w:t xml:space="preserve">3</w:t>
            </w:r>
            <w:r/>
          </w:p>
        </w:tc>
        <w:tc>
          <w:tcPr>
            <w:gridSpan w:val="2"/>
            <w:tcW w:w="3180" w:type="dxa"/>
            <w:textDirection w:val="lrTb"/>
            <w:noWrap w:val="false"/>
          </w:tcPr>
          <w:p>
            <w:pPr>
              <w:pStyle w:val="1125"/>
              <w:spacing w:before="8"/>
              <w:rPr>
                <w:rFonts w:hint="eastAsia"/>
                <w:b/>
                <w:color w:val="auto"/>
                <w:sz w:val="14"/>
                <w:highlight w:val="none"/>
              </w:rPr>
            </w:pPr>
            <w:r>
              <w:rPr>
                <w:rFonts w:hint="eastAsia"/>
                <w:b/>
                <w:color w:val="auto"/>
                <w:sz w:val="14"/>
                <w:highlight w:val="none"/>
              </w:rPr>
            </w:r>
            <w:r/>
          </w:p>
          <w:p>
            <w:pPr>
              <w:pStyle w:val="1125"/>
              <w:ind w:left="27"/>
              <w:rPr>
                <w:rFonts w:hint="eastAsia"/>
                <w:color w:val="auto"/>
                <w:highlight w:val="none"/>
              </w:rPr>
            </w:pPr>
            <w:r>
              <w:rPr>
                <w:rFonts w:hint="eastAsia"/>
                <w:color w:val="auto"/>
                <w:highlight w:val="none"/>
              </w:rPr>
              <w:t xml:space="preserve">联系电话：</w:t>
            </w:r>
            <w:r/>
          </w:p>
        </w:tc>
        <w:tc>
          <w:tcPr>
            <w:gridSpan w:val="2"/>
            <w:tcW w:w="2148" w:type="dxa"/>
            <w:textDirection w:val="lrTb"/>
            <w:noWrap w:val="false"/>
          </w:tcPr>
          <w:p>
            <w:pPr>
              <w:pStyle w:val="1125"/>
              <w:spacing w:before="8"/>
              <w:rPr>
                <w:rFonts w:hint="eastAsia"/>
                <w:b/>
                <w:color w:val="auto"/>
                <w:sz w:val="14"/>
                <w:highlight w:val="none"/>
              </w:rPr>
            </w:pPr>
            <w:r>
              <w:rPr>
                <w:rFonts w:hint="eastAsia"/>
                <w:b/>
                <w:color w:val="auto"/>
                <w:sz w:val="14"/>
                <w:highlight w:val="none"/>
              </w:rPr>
            </w:r>
            <w:r/>
          </w:p>
          <w:p>
            <w:pPr>
              <w:pStyle w:val="1125"/>
              <w:ind w:left="27"/>
              <w:rPr>
                <w:rFonts w:hint="eastAsia"/>
                <w:color w:val="auto"/>
                <w:highlight w:val="none"/>
              </w:rPr>
            </w:pPr>
            <w:r>
              <w:rPr>
                <w:rFonts w:hint="eastAsia"/>
                <w:color w:val="auto"/>
                <w:highlight w:val="none"/>
              </w:rPr>
              <w:t xml:space="preserve">传真：</w:t>
            </w:r>
            <w:r/>
          </w:p>
        </w:tc>
        <w:tc>
          <w:tcPr>
            <w:gridSpan w:val="2"/>
            <w:tcW w:w="3072" w:type="dxa"/>
            <w:textDirection w:val="lrTb"/>
            <w:noWrap w:val="false"/>
          </w:tcPr>
          <w:p>
            <w:pPr>
              <w:pStyle w:val="1125"/>
              <w:spacing w:before="8"/>
              <w:rPr>
                <w:rFonts w:hint="eastAsia"/>
                <w:b/>
                <w:color w:val="auto"/>
                <w:sz w:val="14"/>
                <w:highlight w:val="none"/>
              </w:rPr>
            </w:pPr>
            <w:r>
              <w:rPr>
                <w:rFonts w:hint="eastAsia"/>
                <w:b/>
                <w:color w:val="auto"/>
                <w:sz w:val="14"/>
                <w:highlight w:val="none"/>
              </w:rPr>
            </w:r>
            <w:r/>
          </w:p>
          <w:p>
            <w:pPr>
              <w:pStyle w:val="1125"/>
              <w:ind w:left="27"/>
              <w:rPr>
                <w:rFonts w:hint="eastAsia"/>
                <w:color w:val="auto"/>
                <w:highlight w:val="none"/>
              </w:rPr>
            </w:pPr>
            <w:r>
              <w:rPr>
                <w:rFonts w:hint="eastAsia"/>
                <w:color w:val="auto"/>
                <w:highlight w:val="none"/>
              </w:rPr>
              <w:t xml:space="preserve">电子邮箱：</w:t>
            </w:r>
            <w:r/>
          </w:p>
        </w:tc>
      </w:tr>
      <w:tr>
        <w:trPr>
          <w:trHeight w:val="645"/>
        </w:trPr>
        <w:tc>
          <w:tcPr>
            <w:tcW w:w="628" w:type="dxa"/>
            <w:textDirection w:val="lrTb"/>
            <w:noWrap w:val="false"/>
          </w:tcPr>
          <w:p>
            <w:pPr>
              <w:pStyle w:val="1125"/>
              <w:spacing w:before="8"/>
              <w:rPr>
                <w:rFonts w:hint="eastAsia"/>
                <w:b/>
                <w:color w:val="auto"/>
                <w:sz w:val="14"/>
                <w:highlight w:val="none"/>
              </w:rPr>
            </w:pPr>
            <w:r>
              <w:rPr>
                <w:rFonts w:hint="eastAsia"/>
                <w:b/>
                <w:color w:val="auto"/>
                <w:sz w:val="14"/>
                <w:highlight w:val="none"/>
              </w:rPr>
            </w:r>
            <w:r/>
          </w:p>
          <w:p>
            <w:pPr>
              <w:pStyle w:val="1125"/>
              <w:ind w:left="261"/>
              <w:rPr>
                <w:rFonts w:hint="eastAsia"/>
                <w:color w:val="auto"/>
                <w:highlight w:val="none"/>
              </w:rPr>
            </w:pPr>
            <w:r>
              <w:rPr>
                <w:rFonts w:hint="eastAsia"/>
                <w:color w:val="auto"/>
                <w:highlight w:val="none"/>
              </w:rPr>
              <w:t xml:space="preserve">4</w:t>
            </w:r>
            <w:r/>
          </w:p>
        </w:tc>
        <w:tc>
          <w:tcPr>
            <w:gridSpan w:val="6"/>
            <w:tcW w:w="8400" w:type="dxa"/>
            <w:textDirection w:val="lrTb"/>
            <w:noWrap w:val="false"/>
          </w:tcPr>
          <w:p>
            <w:pPr>
              <w:pStyle w:val="1125"/>
              <w:spacing w:before="8"/>
              <w:rPr>
                <w:rFonts w:hint="eastAsia"/>
                <w:b/>
                <w:color w:val="auto"/>
                <w:sz w:val="14"/>
                <w:highlight w:val="none"/>
              </w:rPr>
            </w:pPr>
            <w:r>
              <w:rPr>
                <w:rFonts w:hint="eastAsia"/>
                <w:b/>
                <w:color w:val="auto"/>
                <w:sz w:val="14"/>
                <w:highlight w:val="none"/>
              </w:rPr>
            </w:r>
            <w:r/>
          </w:p>
          <w:p>
            <w:pPr>
              <w:pStyle w:val="1125"/>
              <w:ind w:left="27"/>
              <w:rPr>
                <w:rFonts w:hint="eastAsia"/>
                <w:color w:val="auto"/>
                <w:highlight w:val="none"/>
              </w:rPr>
            </w:pPr>
            <w:r>
              <w:rPr>
                <w:rFonts w:hint="eastAsia"/>
                <w:color w:val="auto"/>
                <w:highlight w:val="none"/>
              </w:rPr>
              <w:t xml:space="preserve">从事类似项目工作时间：</w:t>
            </w:r>
            <w:r/>
          </w:p>
        </w:tc>
      </w:tr>
      <w:tr>
        <w:trPr>
          <w:trHeight w:val="625"/>
        </w:trPr>
        <w:tc>
          <w:tcPr>
            <w:tcW w:w="628" w:type="dxa"/>
            <w:textDirection w:val="lrTb"/>
            <w:noWrap w:val="false"/>
          </w:tcPr>
          <w:p>
            <w:pPr>
              <w:pStyle w:val="1125"/>
              <w:ind w:left="261"/>
              <w:spacing w:before="176"/>
              <w:rPr>
                <w:rFonts w:hint="eastAsia"/>
                <w:color w:val="auto"/>
                <w:highlight w:val="none"/>
              </w:rPr>
            </w:pPr>
            <w:r>
              <w:rPr>
                <w:rFonts w:hint="eastAsia"/>
                <w:color w:val="auto"/>
                <w:highlight w:val="none"/>
              </w:rPr>
              <w:t xml:space="preserve">5</w:t>
            </w:r>
            <w:r/>
          </w:p>
        </w:tc>
        <w:tc>
          <w:tcPr>
            <w:gridSpan w:val="6"/>
            <w:tcW w:w="8400" w:type="dxa"/>
            <w:textDirection w:val="lrTb"/>
            <w:noWrap w:val="false"/>
          </w:tcPr>
          <w:p>
            <w:pPr>
              <w:pStyle w:val="1125"/>
              <w:ind w:left="27"/>
              <w:spacing w:before="176"/>
              <w:rPr>
                <w:rFonts w:hint="eastAsia"/>
                <w:color w:val="auto"/>
                <w:highlight w:val="none"/>
              </w:rPr>
            </w:pPr>
            <w:r>
              <w:rPr>
                <w:rFonts w:hint="eastAsia"/>
                <w:color w:val="auto"/>
                <w:highlight w:val="none"/>
              </w:rPr>
              <w:t xml:space="preserve">拥有的职称：</w:t>
            </w:r>
            <w:r/>
          </w:p>
        </w:tc>
      </w:tr>
      <w:tr>
        <w:trPr>
          <w:trHeight w:val="1871"/>
        </w:trPr>
        <w:tc>
          <w:tcPr>
            <w:tcW w:w="628" w:type="dxa"/>
            <w:textDirection w:val="lrTb"/>
            <w:noWrap w:val="false"/>
          </w:tcPr>
          <w:p>
            <w:pPr>
              <w:pStyle w:val="1125"/>
              <w:rPr>
                <w:rFonts w:hint="eastAsia"/>
                <w:b/>
                <w:color w:val="auto"/>
                <w:sz w:val="20"/>
                <w:highlight w:val="none"/>
              </w:rPr>
            </w:pPr>
            <w:r>
              <w:rPr>
                <w:rFonts w:hint="eastAsia"/>
                <w:b/>
                <w:color w:val="auto"/>
                <w:sz w:val="20"/>
                <w:highlight w:val="none"/>
              </w:rPr>
            </w:r>
            <w:r/>
          </w:p>
          <w:p>
            <w:pPr>
              <w:pStyle w:val="1125"/>
              <w:rPr>
                <w:rFonts w:hint="eastAsia"/>
                <w:b/>
                <w:color w:val="auto"/>
                <w:sz w:val="20"/>
                <w:highlight w:val="none"/>
              </w:rPr>
            </w:pPr>
            <w:r>
              <w:rPr>
                <w:rFonts w:hint="eastAsia"/>
                <w:b/>
                <w:color w:val="auto"/>
                <w:sz w:val="20"/>
                <w:highlight w:val="none"/>
              </w:rPr>
            </w:r>
            <w:r/>
          </w:p>
          <w:p>
            <w:pPr>
              <w:pStyle w:val="1125"/>
              <w:spacing w:before="6"/>
              <w:rPr>
                <w:rFonts w:hint="eastAsia"/>
                <w:b/>
                <w:color w:val="auto"/>
                <w:highlight w:val="none"/>
              </w:rPr>
            </w:pPr>
            <w:r>
              <w:rPr>
                <w:rFonts w:hint="eastAsia"/>
                <w:b/>
                <w:color w:val="auto"/>
                <w:highlight w:val="none"/>
              </w:rPr>
            </w:r>
            <w:r/>
          </w:p>
          <w:p>
            <w:pPr>
              <w:pStyle w:val="1125"/>
              <w:ind w:left="259"/>
              <w:rPr>
                <w:rFonts w:hint="eastAsia"/>
                <w:color w:val="auto"/>
                <w:highlight w:val="none"/>
              </w:rPr>
            </w:pPr>
            <w:r>
              <w:rPr>
                <w:rFonts w:hint="eastAsia"/>
                <w:color w:val="auto"/>
                <w:highlight w:val="none"/>
              </w:rPr>
              <w:t xml:space="preserve">6</w:t>
            </w:r>
            <w:r/>
          </w:p>
        </w:tc>
        <w:tc>
          <w:tcPr>
            <w:gridSpan w:val="6"/>
            <w:tcW w:w="8400" w:type="dxa"/>
            <w:textDirection w:val="lrTb"/>
            <w:noWrap w:val="false"/>
          </w:tcPr>
          <w:p>
            <w:pPr>
              <w:pStyle w:val="1125"/>
              <w:ind w:left="27"/>
              <w:spacing w:before="21"/>
              <w:rPr>
                <w:rFonts w:hint="eastAsia"/>
                <w:color w:val="auto"/>
                <w:highlight w:val="none"/>
              </w:rPr>
            </w:pPr>
            <w:r>
              <w:rPr>
                <w:rFonts w:hint="eastAsia"/>
                <w:color w:val="auto"/>
                <w:highlight w:val="none"/>
              </w:rPr>
              <w:t xml:space="preserve">曾获得的奖励情况：</w:t>
            </w:r>
            <w:r/>
          </w:p>
          <w:p>
            <w:pPr>
              <w:pStyle w:val="1125"/>
              <w:ind w:left="27"/>
              <w:spacing w:before="43"/>
              <w:tabs>
                <w:tab w:val="left" w:pos="4647" w:leader="none"/>
              </w:tabs>
              <w:rPr>
                <w:rFonts w:hint="eastAsia"/>
                <w:color w:val="auto"/>
                <w:highlight w:val="none"/>
              </w:rPr>
            </w:pPr>
            <w:r>
              <w:rPr>
                <w:rFonts w:hint="eastAsia"/>
                <w:color w:val="auto"/>
                <w:highlight w:val="none"/>
              </w:rPr>
              <w:t xml:space="preserve">1、</w:t>
            </w:r>
            <w:r>
              <w:rPr>
                <w:rFonts w:hint="eastAsia"/>
                <w:color w:val="auto"/>
                <w:highlight w:val="none"/>
                <w:u w:val="single"/>
              </w:rPr>
              <w:t xml:space="preserve"> </w:t>
            </w:r>
            <w:r>
              <w:rPr>
                <w:rFonts w:hint="eastAsia"/>
                <w:color w:val="auto"/>
                <w:highlight w:val="none"/>
                <w:u w:val="single"/>
              </w:rPr>
              <w:tab/>
            </w:r>
            <w:r>
              <w:rPr>
                <w:rFonts w:hint="eastAsia"/>
                <w:color w:val="auto"/>
                <w:highlight w:val="none"/>
              </w:rPr>
              <w:t xml:space="preserve">_</w:t>
            </w:r>
            <w:r/>
          </w:p>
          <w:p>
            <w:pPr>
              <w:pStyle w:val="1125"/>
              <w:ind w:left="27"/>
              <w:spacing w:before="42"/>
              <w:tabs>
                <w:tab w:val="left" w:pos="4908" w:leader="none"/>
              </w:tabs>
              <w:rPr>
                <w:rFonts w:hint="eastAsia"/>
                <w:color w:val="auto"/>
                <w:highlight w:val="none"/>
              </w:rPr>
            </w:pPr>
            <w:r>
              <w:rPr>
                <w:rFonts w:hint="eastAsia"/>
                <w:color w:val="auto"/>
                <w:highlight w:val="none"/>
              </w:rPr>
              <w:t xml:space="preserve">2、 </w:t>
            </w:r>
            <w:r>
              <w:rPr>
                <w:rFonts w:hint="eastAsia"/>
                <w:color w:val="auto"/>
                <w:highlight w:val="none"/>
                <w:u w:val="single"/>
              </w:rPr>
              <w:t xml:space="preserve"> </w:t>
            </w:r>
            <w:r>
              <w:rPr>
                <w:rFonts w:hint="eastAsia"/>
                <w:color w:val="auto"/>
                <w:highlight w:val="none"/>
                <w:u w:val="single"/>
              </w:rPr>
              <w:tab/>
            </w:r>
            <w:r/>
          </w:p>
          <w:p>
            <w:pPr>
              <w:pStyle w:val="1125"/>
              <w:ind w:left="27"/>
              <w:spacing w:before="43"/>
              <w:tabs>
                <w:tab w:val="left" w:pos="4803" w:leader="none"/>
              </w:tabs>
              <w:rPr>
                <w:rFonts w:hint="eastAsia"/>
                <w:color w:val="auto"/>
                <w:highlight w:val="none"/>
              </w:rPr>
            </w:pPr>
            <w:r>
              <w:rPr>
                <w:rFonts w:hint="eastAsia"/>
                <w:color w:val="auto"/>
                <w:highlight w:val="none"/>
              </w:rPr>
              <w:t xml:space="preserve">3、</w:t>
            </w:r>
            <w:r>
              <w:rPr>
                <w:rFonts w:hint="eastAsia"/>
                <w:color w:val="auto"/>
                <w:highlight w:val="none"/>
                <w:u w:val="single"/>
              </w:rPr>
              <w:t xml:space="preserve"> </w:t>
            </w:r>
            <w:r>
              <w:rPr>
                <w:rFonts w:hint="eastAsia"/>
                <w:color w:val="auto"/>
                <w:highlight w:val="none"/>
                <w:u w:val="single"/>
              </w:rPr>
              <w:tab/>
            </w:r>
            <w:r/>
          </w:p>
          <w:p>
            <w:pPr>
              <w:pStyle w:val="1125"/>
              <w:ind w:left="27"/>
              <w:spacing w:before="43"/>
              <w:rPr>
                <w:rFonts w:hint="eastAsia"/>
                <w:color w:val="auto"/>
                <w:highlight w:val="none"/>
              </w:rPr>
            </w:pPr>
            <w:r>
              <w:rPr>
                <w:rFonts w:hint="eastAsia"/>
                <w:color w:val="auto"/>
                <w:highlight w:val="none"/>
              </w:rPr>
              <w:t xml:space="preserve">……………</w:t>
            </w:r>
            <w:r/>
          </w:p>
        </w:tc>
      </w:tr>
      <w:tr>
        <w:trPr>
          <w:trHeight w:val="1132"/>
        </w:trPr>
        <w:tc>
          <w:tcPr>
            <w:tcW w:w="628" w:type="dxa"/>
            <w:textDirection w:val="lrTb"/>
            <w:noWrap w:val="false"/>
          </w:tcPr>
          <w:p>
            <w:pPr>
              <w:pStyle w:val="1125"/>
              <w:rPr>
                <w:rFonts w:hint="eastAsia"/>
                <w:b/>
                <w:color w:val="auto"/>
                <w:sz w:val="20"/>
                <w:highlight w:val="none"/>
              </w:rPr>
            </w:pPr>
            <w:r>
              <w:rPr>
                <w:rFonts w:hint="eastAsia"/>
                <w:b/>
                <w:color w:val="auto"/>
                <w:sz w:val="20"/>
                <w:highlight w:val="none"/>
              </w:rPr>
            </w:r>
            <w:r/>
          </w:p>
          <w:p>
            <w:pPr>
              <w:pStyle w:val="1125"/>
              <w:ind w:left="259"/>
              <w:spacing w:before="174"/>
              <w:rPr>
                <w:rFonts w:hint="eastAsia"/>
                <w:color w:val="auto"/>
                <w:highlight w:val="none"/>
              </w:rPr>
            </w:pPr>
            <w:r>
              <w:rPr>
                <w:rFonts w:hint="eastAsia"/>
                <w:color w:val="auto"/>
                <w:highlight w:val="none"/>
              </w:rPr>
              <w:t xml:space="preserve">7</w:t>
            </w:r>
            <w:r/>
          </w:p>
        </w:tc>
        <w:tc>
          <w:tcPr>
            <w:gridSpan w:val="6"/>
            <w:tcW w:w="8400" w:type="dxa"/>
            <w:textDirection w:val="lrTb"/>
            <w:noWrap w:val="false"/>
          </w:tcPr>
          <w:p>
            <w:pPr>
              <w:pStyle w:val="1125"/>
              <w:ind w:left="27"/>
              <w:spacing w:before="20"/>
              <w:rPr>
                <w:rFonts w:hint="eastAsia"/>
                <w:color w:val="auto"/>
                <w:highlight w:val="none"/>
              </w:rPr>
            </w:pPr>
            <w:r>
              <w:rPr>
                <w:rFonts w:hint="eastAsia"/>
                <w:color w:val="auto"/>
                <w:highlight w:val="none"/>
              </w:rPr>
              <w:t xml:space="preserve">本公司承诺：</w:t>
            </w:r>
            <w:r/>
          </w:p>
          <w:p>
            <w:pPr>
              <w:pStyle w:val="1125"/>
              <w:ind w:left="27"/>
              <w:spacing w:before="43"/>
              <w:rPr>
                <w:rFonts w:hint="eastAsia"/>
                <w:color w:val="auto"/>
                <w:highlight w:val="none"/>
              </w:rPr>
            </w:pPr>
            <w:r>
              <w:rPr>
                <w:rFonts w:hint="eastAsia"/>
                <w:color w:val="auto"/>
                <w:highlight w:val="none"/>
              </w:rPr>
              <w:t xml:space="preserve">该项目负责人在从业经历中没有任何违法、违规而被查处的不良记录。</w:t>
            </w:r>
            <w:r/>
          </w:p>
        </w:tc>
      </w:tr>
      <w:tr>
        <w:trPr>
          <w:trHeight w:val="2846"/>
        </w:trPr>
        <w:tc>
          <w:tcPr>
            <w:tcW w:w="628" w:type="dxa"/>
            <w:textDirection w:val="lrTb"/>
            <w:noWrap w:val="false"/>
          </w:tcPr>
          <w:p>
            <w:pPr>
              <w:pStyle w:val="1125"/>
              <w:rPr>
                <w:rFonts w:hint="eastAsia"/>
                <w:b/>
                <w:color w:val="auto"/>
                <w:sz w:val="20"/>
                <w:highlight w:val="none"/>
              </w:rPr>
            </w:pPr>
            <w:r>
              <w:rPr>
                <w:rFonts w:hint="eastAsia"/>
                <w:b/>
                <w:color w:val="auto"/>
                <w:sz w:val="20"/>
                <w:highlight w:val="none"/>
              </w:rPr>
            </w:r>
            <w:r/>
          </w:p>
          <w:p>
            <w:pPr>
              <w:pStyle w:val="1125"/>
              <w:rPr>
                <w:rFonts w:hint="eastAsia"/>
                <w:b/>
                <w:color w:val="auto"/>
                <w:sz w:val="20"/>
                <w:highlight w:val="none"/>
              </w:rPr>
            </w:pPr>
            <w:r>
              <w:rPr>
                <w:rFonts w:hint="eastAsia"/>
                <w:b/>
                <w:color w:val="auto"/>
                <w:sz w:val="20"/>
                <w:highlight w:val="none"/>
              </w:rPr>
            </w:r>
            <w:r/>
          </w:p>
          <w:p>
            <w:pPr>
              <w:pStyle w:val="1125"/>
              <w:rPr>
                <w:rFonts w:hint="eastAsia"/>
                <w:b/>
                <w:color w:val="auto"/>
                <w:sz w:val="20"/>
                <w:highlight w:val="none"/>
              </w:rPr>
            </w:pPr>
            <w:r>
              <w:rPr>
                <w:rFonts w:hint="eastAsia"/>
                <w:b/>
                <w:color w:val="auto"/>
                <w:sz w:val="20"/>
                <w:highlight w:val="none"/>
              </w:rPr>
            </w:r>
            <w:r/>
          </w:p>
          <w:p>
            <w:pPr>
              <w:pStyle w:val="1125"/>
              <w:rPr>
                <w:rFonts w:hint="eastAsia"/>
                <w:b/>
                <w:color w:val="auto"/>
                <w:sz w:val="20"/>
                <w:highlight w:val="none"/>
              </w:rPr>
            </w:pPr>
            <w:r>
              <w:rPr>
                <w:rFonts w:hint="eastAsia"/>
                <w:b/>
                <w:color w:val="auto"/>
                <w:sz w:val="20"/>
                <w:highlight w:val="none"/>
              </w:rPr>
            </w:r>
            <w:r/>
          </w:p>
          <w:p>
            <w:pPr>
              <w:pStyle w:val="1125"/>
              <w:spacing w:before="7"/>
              <w:rPr>
                <w:rFonts w:hint="eastAsia"/>
                <w:b/>
                <w:color w:val="auto"/>
                <w:sz w:val="20"/>
                <w:highlight w:val="none"/>
              </w:rPr>
            </w:pPr>
            <w:r>
              <w:rPr>
                <w:rFonts w:hint="eastAsia"/>
                <w:b/>
                <w:color w:val="auto"/>
                <w:sz w:val="20"/>
                <w:highlight w:val="none"/>
              </w:rPr>
            </w:r>
            <w:r/>
          </w:p>
          <w:p>
            <w:pPr>
              <w:pStyle w:val="1125"/>
              <w:ind w:left="259"/>
              <w:spacing w:before="1"/>
              <w:rPr>
                <w:rFonts w:hint="eastAsia"/>
                <w:color w:val="auto"/>
                <w:highlight w:val="none"/>
              </w:rPr>
            </w:pPr>
            <w:r>
              <w:rPr>
                <w:rFonts w:hint="eastAsia"/>
                <w:color w:val="auto"/>
                <w:highlight w:val="none"/>
              </w:rPr>
              <w:t xml:space="preserve">8</w:t>
            </w:r>
            <w:r/>
          </w:p>
        </w:tc>
        <w:tc>
          <w:tcPr>
            <w:gridSpan w:val="6"/>
            <w:tcW w:w="8400" w:type="dxa"/>
            <w:textDirection w:val="lrTb"/>
            <w:noWrap w:val="false"/>
          </w:tcPr>
          <w:p>
            <w:pPr>
              <w:pStyle w:val="1125"/>
              <w:ind w:left="27"/>
              <w:spacing w:before="22"/>
              <w:rPr>
                <w:rFonts w:hint="eastAsia"/>
                <w:color w:val="auto"/>
                <w:highlight w:val="none"/>
              </w:rPr>
            </w:pPr>
            <w:r>
              <w:rPr>
                <w:rFonts w:hint="eastAsia"/>
                <w:color w:val="auto"/>
                <w:highlight w:val="none"/>
              </w:rPr>
              <w:t xml:space="preserve">其他需要说明的情况</w:t>
            </w:r>
            <w:r/>
          </w:p>
        </w:tc>
      </w:tr>
    </w:tbl>
    <w:p>
      <w:pPr>
        <w:pStyle w:val="1094"/>
        <w:spacing w:before="9" w:after="1"/>
        <w:rPr>
          <w:rFonts w:hint="eastAsia" w:ascii="宋体" w:hAnsi="宋体" w:cs="宋体"/>
          <w:b/>
          <w:color w:val="auto"/>
          <w:sz w:val="22"/>
          <w:highlight w:val="none"/>
        </w:rPr>
      </w:pPr>
      <w:r>
        <w:rPr>
          <w:rFonts w:hint="eastAsia" w:ascii="宋体" w:hAnsi="宋体" w:cs="宋体"/>
          <w:b/>
          <w:color w:val="auto"/>
          <w:sz w:val="22"/>
          <w:highlight w:val="none"/>
        </w:rPr>
      </w:r>
      <w:r/>
    </w:p>
    <w:p>
      <w:pPr>
        <w:rPr>
          <w:rFonts w:hint="eastAsia" w:ascii="宋体" w:hAnsi="宋体" w:cs="宋体"/>
          <w:color w:val="auto"/>
          <w:highlight w:val="none"/>
        </w:rPr>
      </w:pPr>
      <w:r>
        <w:rPr>
          <w:rFonts w:hint="eastAsia" w:ascii="宋体" w:hAnsi="宋体" w:cs="宋体"/>
          <w:color w:val="auto"/>
          <w:highlight w:val="none"/>
        </w:rPr>
        <w:t xml:space="preserve">磋商响应单位（盖章）：     </w:t>
      </w:r>
      <w:r/>
    </w:p>
    <w:p>
      <w:pPr>
        <w:rPr>
          <w:rFonts w:hint="eastAsia" w:ascii="宋体" w:hAnsi="宋体" w:cs="宋体"/>
          <w:color w:val="auto"/>
          <w:spacing w:val="20"/>
          <w:highlight w:val="none"/>
        </w:rPr>
      </w:pPr>
      <w:r>
        <w:rPr>
          <w:rFonts w:hint="eastAsia" w:ascii="宋体" w:hAnsi="宋体" w:cs="宋体"/>
          <w:color w:val="auto"/>
          <w:spacing w:val="20"/>
          <w:highlight w:val="none"/>
        </w:rPr>
        <w:t xml:space="preserve">法定代表人或委托代理人：（签字或盖章）                   </w:t>
      </w:r>
      <w:r/>
    </w:p>
    <w:p>
      <w:pPr>
        <w:rPr>
          <w:rFonts w:hint="eastAsia" w:ascii="宋体" w:hAnsi="宋体" w:cs="宋体"/>
          <w:color w:val="auto"/>
          <w:spacing w:val="20"/>
          <w:highlight w:val="none"/>
        </w:rPr>
      </w:pPr>
      <w:r>
        <w:rPr>
          <w:rFonts w:hint="eastAsia" w:ascii="宋体" w:hAnsi="宋体" w:cs="宋体"/>
          <w:color w:val="auto"/>
          <w:spacing w:val="20"/>
          <w:highlight w:val="none"/>
        </w:rPr>
        <w:t xml:space="preserve">日期：</w:t>
      </w:r>
      <w:r/>
    </w:p>
    <w:p>
      <w:pPr>
        <w:spacing w:line="500" w:lineRule="exact"/>
        <w:rPr>
          <w:rFonts w:hint="eastAsia" w:ascii="宋体" w:hAnsi="宋体" w:cs="宋体"/>
          <w:b/>
          <w:bCs/>
          <w:color w:val="auto"/>
          <w:szCs w:val="21"/>
          <w:highlight w:val="none"/>
          <w:lang w:eastAsia="zh-TW"/>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6.4</w:t>
      </w:r>
      <w:r>
        <w:rPr>
          <w:rFonts w:hint="eastAsia" w:ascii="宋体" w:hAnsi="宋体" w:cs="宋体"/>
          <w:b/>
          <w:color w:val="auto"/>
          <w:szCs w:val="21"/>
          <w:highlight w:val="none"/>
        </w:rPr>
        <w:t xml:space="preserve">类似项目业绩表</w:t>
      </w:r>
      <w:r/>
    </w:p>
    <w:p>
      <w:pPr>
        <w:jc w:val="center"/>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类似项目业绩表</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采购编号：                                      项目名称：</w:t>
      </w:r>
      <w:r/>
    </w:p>
    <w:tbl>
      <w:tblPr>
        <w:tblStyle w:val="1092"/>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1"/>
        <w:gridCol w:w="1411"/>
        <w:gridCol w:w="1349"/>
        <w:gridCol w:w="1678"/>
        <w:gridCol w:w="2169"/>
        <w:gridCol w:w="1605"/>
      </w:tblGrid>
      <w:tr>
        <w:trPr>
          <w:cantSplit/>
          <w:trHeight w:val="740"/>
        </w:trPr>
        <w:tc>
          <w:tcPr>
            <w:tcW w:w="480"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Style w:val="1126"/>
                <w:rFonts w:hint="eastAsia" w:ascii="宋体" w:hAnsi="宋体" w:cs="宋体"/>
                <w:color w:val="auto"/>
                <w:szCs w:val="21"/>
                <w:highlight w:val="none"/>
              </w:rPr>
              <w:t xml:space="preserve">序号</w:t>
            </w:r>
            <w:r/>
          </w:p>
        </w:tc>
        <w:tc>
          <w:tcPr>
            <w:tcW w:w="776"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Style w:val="1126"/>
                <w:rFonts w:hint="eastAsia" w:ascii="宋体" w:hAnsi="宋体" w:cs="宋体"/>
                <w:color w:val="auto"/>
                <w:szCs w:val="21"/>
                <w:highlight w:val="none"/>
              </w:rPr>
              <w:t xml:space="preserve">项目名称</w:t>
            </w:r>
            <w:r/>
          </w:p>
        </w:tc>
        <w:tc>
          <w:tcPr>
            <w:tcW w:w="742"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Style w:val="1126"/>
                <w:rFonts w:hint="eastAsia" w:ascii="宋体" w:hAnsi="宋体" w:cs="宋体"/>
                <w:color w:val="auto"/>
                <w:szCs w:val="21"/>
                <w:highlight w:val="none"/>
              </w:rPr>
              <w:t xml:space="preserve">合同期</w:t>
            </w:r>
            <w:r/>
          </w:p>
        </w:tc>
        <w:tc>
          <w:tcPr>
            <w:tcW w:w="923"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Style w:val="1126"/>
                <w:rFonts w:hint="eastAsia" w:ascii="宋体" w:hAnsi="宋体" w:cs="宋体"/>
                <w:color w:val="auto"/>
                <w:szCs w:val="21"/>
                <w:highlight w:val="none"/>
              </w:rPr>
              <w:t xml:space="preserve">服务范围</w:t>
            </w:r>
            <w:r/>
          </w:p>
        </w:tc>
        <w:tc>
          <w:tcPr>
            <w:tcW w:w="1193"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Style w:val="1126"/>
                <w:rFonts w:hint="eastAsia" w:ascii="宋体" w:hAnsi="宋体" w:cs="宋体"/>
                <w:color w:val="auto"/>
                <w:szCs w:val="21"/>
                <w:highlight w:val="none"/>
              </w:rPr>
              <w:t xml:space="preserve">合同金额（万元）</w:t>
            </w:r>
            <w:r/>
          </w:p>
        </w:tc>
        <w:tc>
          <w:tcPr>
            <w:tcW w:w="883"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Style w:val="1126"/>
                <w:rFonts w:hint="eastAsia" w:ascii="宋体" w:hAnsi="宋体" w:cs="宋体"/>
                <w:color w:val="auto"/>
                <w:szCs w:val="21"/>
                <w:highlight w:val="none"/>
              </w:rPr>
              <w:t xml:space="preserve">备注</w:t>
            </w:r>
            <w:r/>
          </w:p>
        </w:tc>
      </w:tr>
      <w:tr>
        <w:trPr>
          <w:cantSplit/>
          <w:trHeight w:val="510" w:hRule="exact"/>
        </w:trPr>
        <w:tc>
          <w:tcPr>
            <w:tcW w:w="480"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Style w:val="1126"/>
                <w:rFonts w:hint="eastAsia" w:ascii="宋体" w:hAnsi="宋体" w:cs="宋体"/>
                <w:color w:val="auto"/>
                <w:szCs w:val="21"/>
                <w:highlight w:val="none"/>
              </w:rPr>
              <w:t xml:space="preserve">1</w:t>
            </w:r>
            <w:r/>
          </w:p>
        </w:tc>
        <w:tc>
          <w:tcPr>
            <w:tcW w:w="776"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742"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92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119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88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Style w:val="1126"/>
                <w:rFonts w:hint="eastAsia" w:ascii="宋体" w:hAnsi="宋体" w:cs="宋体"/>
                <w:color w:val="auto"/>
                <w:szCs w:val="21"/>
                <w:highlight w:val="none"/>
              </w:rPr>
              <w:t xml:space="preserve">2</w:t>
            </w:r>
            <w:r/>
          </w:p>
        </w:tc>
        <w:tc>
          <w:tcPr>
            <w:tcW w:w="776"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742"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92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119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88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Style w:val="1126"/>
                <w:rFonts w:hint="eastAsia" w:ascii="宋体" w:hAnsi="宋体" w:cs="宋体"/>
                <w:color w:val="auto"/>
                <w:szCs w:val="21"/>
                <w:highlight w:val="none"/>
              </w:rPr>
              <w:t xml:space="preserve">3</w:t>
            </w:r>
            <w:r/>
          </w:p>
        </w:tc>
        <w:tc>
          <w:tcPr>
            <w:tcW w:w="776"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742"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92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119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88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Style w:val="1126"/>
                <w:rFonts w:hint="eastAsia" w:ascii="宋体" w:hAnsi="宋体" w:cs="宋体"/>
                <w:color w:val="auto"/>
                <w:szCs w:val="21"/>
                <w:highlight w:val="none"/>
              </w:rPr>
              <w:t xml:space="preserve">4</w:t>
            </w:r>
            <w:r/>
          </w:p>
        </w:tc>
        <w:tc>
          <w:tcPr>
            <w:tcW w:w="776"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742"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92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119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88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Style w:val="1126"/>
                <w:rFonts w:hint="eastAsia" w:ascii="宋体" w:hAnsi="宋体" w:cs="宋体"/>
                <w:color w:val="auto"/>
                <w:szCs w:val="21"/>
                <w:highlight w:val="none"/>
              </w:rPr>
              <w:t xml:space="preserve">5</w:t>
            </w:r>
            <w:r/>
          </w:p>
        </w:tc>
        <w:tc>
          <w:tcPr>
            <w:tcW w:w="776"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742"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92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119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88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480" w:type="dxa"/>
            <w:vAlign w:val="center"/>
            <w:textDirection w:val="tbRlV"/>
            <w:noWrap w:val="false"/>
          </w:tcPr>
          <w:p>
            <w:pPr>
              <w:ind w:left="113" w:right="113"/>
              <w:jc w:val="center"/>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776"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742"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92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119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883" w:type="dxa"/>
            <w:vAlign w:val="center"/>
            <w:textDirection w:val="lrTb"/>
            <w:noWrap w:val="false"/>
          </w:tcPr>
          <w:p>
            <w:pPr>
              <w:ind w:left="420"/>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776"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742"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923"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1193"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883"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776"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742"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923"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1193"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c>
          <w:tcPr>
            <w:tcW w:w="883" w:type="dxa"/>
            <w:vAlign w:val="center"/>
            <w:textDirection w:val="lrTb"/>
            <w:noWrap w:val="false"/>
          </w:tcPr>
          <w:p>
            <w:pPr>
              <w:jc w:val="center"/>
              <w:spacing w:line="400" w:lineRule="exact"/>
              <w:rPr>
                <w:rStyle w:val="1126"/>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磋商响应单位（盖章）：     </w:t>
      </w:r>
      <w:r/>
    </w:p>
    <w:p>
      <w:pPr>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法定代表人或委托代理人：（签字或盖章）                   </w:t>
      </w:r>
      <w:r/>
    </w:p>
    <w:p>
      <w:pPr>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ind w:firstLine="250"/>
        <w:spacing w:line="360" w:lineRule="auto"/>
        <w:rPr>
          <w:rFonts w:ascii="宋体" w:hAnsi="宋体" w:eastAsia="宋体" w:cs="宋体"/>
          <w:color w:val="auto"/>
          <w:szCs w:val="21"/>
          <w:highlight w:val="none"/>
        </w:rPr>
      </w:pPr>
      <w:r>
        <w:rPr>
          <w:rFonts w:hint="eastAsia" w:ascii="宋体" w:hAnsi="宋体" w:eastAsia="宋体"/>
          <w:bCs w:val="0"/>
          <w:color w:val="auto"/>
          <w:spacing w:val="20"/>
          <w:sz w:val="21"/>
          <w:szCs w:val="21"/>
          <w:highlight w:val="none"/>
        </w:rPr>
        <w:br w:type="page" w:clear="all"/>
      </w:r>
      <w:r/>
    </w:p>
    <w:p>
      <w:pPr>
        <w:pStyle w:val="1127"/>
        <w:numPr>
          <w:ilvl w:val="2"/>
          <w:numId w:val="0"/>
        </w:numPr>
        <w:jc w:val="both"/>
        <w:keepLines w:val="0"/>
        <w:keepNext w:val="0"/>
        <w:spacing w:before="240" w:after="240"/>
        <w:rPr>
          <w:rFonts w:hint="eastAsia" w:ascii="宋体" w:hAnsi="宋体" w:eastAsia="宋体"/>
          <w:bCs w:val="0"/>
          <w:color w:val="auto"/>
          <w:spacing w:val="20"/>
          <w:sz w:val="21"/>
          <w:szCs w:val="21"/>
          <w:highlight w:val="none"/>
        </w:rPr>
        <w:sectPr>
          <w:footnotePr/>
          <w:endnotePr/>
          <w:type w:val="nextPage"/>
          <w:pgSz w:w="11906" w:h="16838" w:orient="portrait"/>
          <w:pgMar w:top="1440" w:right="1417" w:bottom="1134" w:left="1417" w:header="851" w:footer="850" w:gutter="0"/>
          <w:cols w:num="1" w:sep="0" w:space="0" w:equalWidth="1"/>
          <w:docGrid w:linePitch="360"/>
        </w:sectPr>
        <w:outlineLvl w:val="9"/>
      </w:pPr>
      <w:r>
        <w:rPr>
          <w:rFonts w:hint="eastAsia" w:ascii="宋体" w:hAnsi="宋体" w:eastAsia="宋体"/>
          <w:bCs w:val="0"/>
          <w:color w:val="auto"/>
          <w:spacing w:val="20"/>
          <w:sz w:val="21"/>
          <w:szCs w:val="21"/>
          <w:highlight w:val="none"/>
        </w:rPr>
      </w:r>
      <w:r/>
    </w:p>
    <w:p>
      <w:pPr>
        <w:rPr>
          <w:rFonts w:hint="eastAsia" w:ascii="宋体" w:hAnsi="宋体" w:cs="宋体"/>
          <w:color w:val="auto"/>
          <w:szCs w:val="21"/>
          <w:highlight w:val="none"/>
        </w:rPr>
      </w:pPr>
      <w:r>
        <w:rPr>
          <w:rFonts w:hint="eastAsia" w:ascii="宋体" w:hAnsi="宋体" w:cs="宋体"/>
          <w:b/>
          <w:bCs/>
          <w:color w:val="auto"/>
          <w:szCs w:val="21"/>
          <w:highlight w:val="none"/>
        </w:rPr>
        <w:t xml:space="preserve">6.5服务方案： </w:t>
      </w:r>
      <w:r/>
    </w:p>
    <w:p>
      <w:pPr>
        <w:jc w:val="center"/>
        <w:rPr>
          <w:rFonts w:hint="eastAsia" w:ascii="宋体" w:hAnsi="宋体" w:cs="宋体"/>
          <w:b/>
          <w:bCs/>
          <w:color w:val="auto"/>
          <w:sz w:val="32"/>
          <w:szCs w:val="32"/>
          <w:highlight w:val="none"/>
        </w:rPr>
      </w:pPr>
      <w:r>
        <w:rPr>
          <w:rFonts w:hint="eastAsia" w:ascii="宋体" w:hAnsi="宋体" w:cs="宋体"/>
          <w:b/>
          <w:bCs/>
          <w:color w:val="auto"/>
          <w:szCs w:val="21"/>
          <w:highlight w:val="none"/>
        </w:rPr>
        <w:t xml:space="preserve">服务方案</w:t>
      </w:r>
      <w:r/>
    </w:p>
    <w:tbl>
      <w:tblPr>
        <w:tblStyle w:val="109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Height w:val="1161"/>
        </w:trPr>
        <w:tc>
          <w:tcPr>
            <w:tcBorders>
              <w:top w:val="single" w:color="000000" w:sz="6" w:space="0"/>
              <w:left w:val="single" w:color="000000" w:sz="6" w:space="0"/>
              <w:bottom w:val="single" w:color="000000" w:sz="6" w:space="0"/>
              <w:right w:val="single" w:color="000000" w:sz="6" w:space="0"/>
            </w:tcBorders>
            <w:tcW w:w="5000" w:type="dxa"/>
            <w:textDirection w:val="lrTb"/>
            <w:noWrap w:val="false"/>
          </w:tcPr>
          <w:p>
            <w:pPr>
              <w:jc w:val="left"/>
              <w:tabs>
                <w:tab w:val="left" w:pos="132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提示：</w:t>
            </w:r>
            <w:r/>
          </w:p>
          <w:p>
            <w:pPr>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1、响应单位应针对本项目特点编写成交后拟采取的方案。</w:t>
            </w:r>
            <w:r/>
          </w:p>
          <w:p>
            <w:pPr>
              <w:jc w:val="left"/>
              <w:rPr>
                <w:rFonts w:hint="eastAsia" w:ascii="宋体" w:hAnsi="宋体" w:cs="宋体"/>
                <w:color w:val="auto"/>
                <w:highlight w:val="none"/>
              </w:rPr>
            </w:pPr>
            <w:r>
              <w:rPr>
                <w:rFonts w:hint="eastAsia" w:ascii="宋体" w:hAnsi="宋体" w:cs="宋体"/>
                <w:color w:val="auto"/>
                <w:szCs w:val="21"/>
                <w:highlight w:val="none"/>
                <w:lang w:val="zh-CN"/>
              </w:rPr>
              <w:t xml:space="preserve">2、响应单位可根据自身情况编写，本页不够可另加页附后。</w:t>
            </w:r>
            <w:r/>
          </w:p>
        </w:tc>
      </w:tr>
      <w:tr>
        <w:trPr>
          <w:jc w:val="center"/>
          <w:trHeight w:val="9934"/>
        </w:trPr>
        <w:tc>
          <w:tcPr>
            <w:tcBorders>
              <w:top w:val="single" w:color="000000" w:sz="6" w:space="0"/>
              <w:left w:val="single" w:color="000000" w:sz="6" w:space="0"/>
              <w:bottom w:val="single" w:color="000000" w:sz="6" w:space="0"/>
              <w:right w:val="single" w:color="000000" w:sz="6" w:space="0"/>
            </w:tcBorders>
            <w:tcW w:w="5000" w:type="dxa"/>
            <w:textDirection w:val="lrTb"/>
            <w:noWrap w:val="false"/>
          </w:tcPr>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320" w:leader="none"/>
              </w:tabs>
              <w:rPr>
                <w:rFonts w:hint="eastAsia" w:ascii="宋体" w:hAnsi="宋体" w:cs="宋体"/>
                <w:color w:val="auto"/>
                <w:szCs w:val="21"/>
                <w:highlight w:val="none"/>
                <w:lang w:val="zh-CN"/>
              </w:rPr>
            </w:pPr>
            <w:r>
              <w:rPr>
                <w:rFonts w:hint="eastAsia" w:ascii="宋体" w:hAnsi="宋体" w:cs="宋体"/>
                <w:color w:val="auto"/>
                <w:highlight w:val="none"/>
              </w:rPr>
              <w:t xml:space="preserve">   </w:t>
            </w:r>
            <w:r>
              <w:rPr>
                <w:rFonts w:hint="eastAsia" w:ascii="宋体" w:hAnsi="宋体" w:cs="宋体"/>
                <w:color w:val="auto"/>
                <w:szCs w:val="21"/>
                <w:highlight w:val="none"/>
                <w:lang w:val="zh-CN"/>
              </w:rPr>
              <w:t xml:space="preserve">磋商响应单位（盖章）：</w:t>
            </w:r>
            <w:r/>
          </w:p>
          <w:p>
            <w:pPr>
              <w:ind w:firstLine="420"/>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jc w:val="left"/>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tc>
      </w:tr>
    </w:tbl>
    <w:p>
      <w:pPr>
        <w:jc w:val="righ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righ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righ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br w:type="page" w:clear="all"/>
      </w:r>
      <w:r/>
    </w:p>
    <w:p>
      <w:pPr>
        <w:rPr>
          <w:rFonts w:hint="eastAsia" w:ascii="宋体" w:hAnsi="宋体" w:cs="宋体"/>
          <w:b/>
          <w:color w:val="auto"/>
          <w:szCs w:val="21"/>
          <w:highlight w:val="none"/>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7</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（该项为通知内容，不需要作为投标文件组成）</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政府采购合同信用融资政策告知函</w:t>
      </w:r>
      <w:r/>
    </w:p>
    <w:p>
      <w:pPr>
        <w:rPr>
          <w:rFonts w:hint="eastAsia" w:ascii="宋体" w:hAnsi="宋体" w:cs="宋体"/>
          <w:b/>
          <w:color w:val="auto"/>
          <w:szCs w:val="21"/>
          <w:highlight w:val="none"/>
        </w:rPr>
      </w:pPr>
      <w:r>
        <w:rPr>
          <w:rFonts w:hint="eastAsia" w:ascii="宋体" w:hAnsi="宋体" w:cs="宋体"/>
          <w:b/>
          <w:color w:val="auto"/>
          <w:szCs w:val="21"/>
          <w:highlight w:val="none"/>
        </w:rPr>
        <w:t xml:space="preserve">各政府采购供应商：</w:t>
      </w:r>
      <w:r/>
    </w:p>
    <w:p>
      <w:pPr>
        <w:ind w:firstLine="420"/>
        <w:jc w:val="left"/>
        <w:rPr>
          <w:rFonts w:hint="eastAsia"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20"/>
        <w:jc w:val="left"/>
        <w:rPr>
          <w:rFonts w:hint="eastAsia"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1103"/>
        <w:rPr>
          <w:rFonts w:hint="eastAsia" w:ascii="宋体" w:hAnsi="宋体" w:cs="宋体"/>
          <w:color w:val="auto"/>
          <w:szCs w:val="21"/>
          <w:highlight w:val="none"/>
        </w:rPr>
      </w:pPr>
      <w:r>
        <w:rPr>
          <w:rFonts w:hint="eastAsia" w:ascii="宋体" w:hAnsi="宋体" w:cs="宋体"/>
          <w:color w:val="auto"/>
          <w:szCs w:val="21"/>
          <w:highlight w:val="none"/>
        </w:rPr>
      </w:r>
      <w:r/>
    </w:p>
    <w:p>
      <w:pPr>
        <w:pStyle w:val="1100"/>
        <w:rPr>
          <w:color w:val="auto"/>
          <w:highlight w:val="none"/>
        </w:rPr>
      </w:pPr>
      <w:r>
        <w:rPr>
          <w:color w:val="auto"/>
          <w:highlight w:val="none"/>
        </w:rPr>
      </w:r>
      <w:r/>
    </w:p>
    <w:p>
      <w:pPr>
        <w:jc w:val="righ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（全文完）</w:t>
      </w:r>
      <w:r/>
    </w:p>
    <w:p>
      <w:r/>
      <w:r/>
    </w:p>
    <w:sectPr>
      <w:footnotePr/>
      <w:endnotePr/>
      <w:type w:val="nextPage"/>
      <w:pgSz w:w="11906" w:h="16838" w:orient="portrait"/>
      <w:pgMar w:top="1440" w:right="1417" w:bottom="1134" w:left="1417"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黑体">
    <w:panose1 w:val="02010609060101010101"/>
  </w:font>
  <w:font w:name="Courier New">
    <w:panose1 w:val="02070309020205020404"/>
  </w:font>
  <w:font w:name="微软雅黑">
    <w:panose1 w:val="020B0503020204020204"/>
  </w:font>
  <w:font w:name="Calibri">
    <w:panose1 w:val="020F0502020204030204"/>
  </w:font>
  <w:font w:name="楷体_GB2312">
    <w:panose1 w:val="02010609060101010101"/>
  </w:font>
  <w:font w:name="Cambria">
    <w:panose1 w:val="02040503050406030204"/>
  </w:font>
  <w:font w:name="Microsoft JhengHei">
    <w:panose1 w:val="020B06040305040402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2602865</wp:posOffset>
              </wp:positionH>
              <wp:positionV relativeFrom="paragraph">
                <wp:posOffset>-1905</wp:posOffset>
              </wp:positionV>
              <wp:extent cx="292735" cy="301625"/>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2963" cy="30184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4384;o:allowoverlap:true;o:allowincell:true;mso-position-horizontal-relative:margin;margin-left:204.9pt;mso-position-horizontal:absolute;mso-position-vertical-relative:text;margin-top:-0.1pt;mso-position-vertical:absolute;width:23.0pt;height:23.8pt;mso-wrap-distance-left:9.0pt;mso-wrap-distance-top:0.0pt;mso-wrap-distance-right:9.0pt;mso-wrap-distance-bottom:0.0pt;v-text-anchor:top;visibility:visible;" filled="f" stroked="f" strokeweight="0.50pt">
              <v:textbox inset="0,0,0,0">
                <w:txbxContent>
                  <w:p>
                    <w:pPr>
                      <w:pStyle w:val="109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1930" cy="263525"/>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01866" cy="263437"/>
                      </a:xfrm>
                      <a:prstGeom prst="rect">
                        <a:avLst/>
                      </a:prstGeom>
                      <a:noFill/>
                      <a:ln>
                        <a:noFill/>
                      </a:ln>
                    </wps:spPr>
                    <wps:txbx>
                      <w:txbxContent>
                        <w:p>
                          <w:pPr>
                            <w:pStyle w:val="1097"/>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5.9pt;height:20.8pt;mso-wrap-distance-left:9.0pt;mso-wrap-distance-top:0.0pt;mso-wrap-distance-right:9.0pt;mso-wrap-distance-bottom:0.0pt;visibility:visible;" filled="f" stroked="f">
              <v:textbox inset="0,0,0,0">
                <w:txbxContent>
                  <w:p>
                    <w:pPr>
                      <w:pStyle w:val="10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hint="eastAsia"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pPr>
                          <w:r>
                            <w:fldChar w:fldCharType="begin"/>
                          </w:r>
                          <w:r>
                            <w:instrText xml:space="preserve"> PAGE  \* MERGEFORMAT </w:instrText>
                          </w:r>
                          <w:r>
                            <w:fldChar w:fldCharType="separate"/>
                          </w:r>
                          <w:r>
                            <w:t xml:space="preserve">53</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622"/>
      <w:spacing w:line="158" w:lineRule="auto"/>
      <w:tabs>
        <w:tab w:val="left" w:pos="7240" w:leader="none"/>
      </w:tabs>
      <w:rPr>
        <w:rFonts w:hint="eastAsia"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61925" cy="25908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61861" cy="259042"/>
                      </a:xfrm>
                      <a:prstGeom prst="rect">
                        <a:avLst/>
                      </a:prstGeom>
                      <a:noFill/>
                      <a:ln>
                        <a:noFill/>
                      </a:ln>
                    </wps:spPr>
                    <wps:txbx>
                      <w:txbxContent>
                        <w:p>
                          <w:pPr>
                            <w:pStyle w:val="1097"/>
                          </w:pPr>
                          <w:r>
                            <w:fldChar w:fldCharType="begin"/>
                          </w:r>
                          <w:r>
                            <w:instrText xml:space="preserve"> PAGE  \* MERGEFORMAT </w:instrText>
                          </w:r>
                          <w:r>
                            <w:fldChar w:fldCharType="separate"/>
                          </w:r>
                          <w:r>
                            <w:t xml:space="preserve">54</w:t>
                          </w:r>
                          <w:r>
                            <w:fldChar w:fldCharType="end"/>
                          </w:r>
                          <w:r/>
                        </w:p>
                      </w:txbxContent>
                    </wps:txbx>
                    <wps:bodyPr wrap="square" lIns="0" tIns="0" rIns="0" bIns="0" upright="1">
                      <a:no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2.8pt;height:20.4pt;mso-wrap-distance-left:9.0pt;mso-wrap-distance-top:0.0pt;mso-wrap-distance-right:9.0pt;mso-wrap-distance-bottom:0.0pt;visibility:visible;" filled="f" stroked="f">
              <v:textbox inset="0,0,0,0">
                <w:txbxContent>
                  <w:p>
                    <w:pPr>
                      <w:pStyle w:val="1097"/>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rPr>
        <w:rFonts w:hint="eastAsia" w:ascii="Arial" w:hAnsi="Arial" w:eastAsia="宋体" w:cs="Arial"/>
        <w:highlight w:val="yellow"/>
        <w:lang w:eastAsia="zh-CN"/>
      </w:rPr>
    </w:pPr>
    <w:r>
      <w:rPr>
        <w:rFonts w:hint="eastAsia" w:ascii="Arial" w:hAnsi="Arial" w:cs="Arial"/>
      </w:rPr>
      <w:t xml:space="preserve">苏州通宜房地产土地评估咨询有限公司</w:t>
    </w:r>
    <w:r>
      <w:rPr>
        <w:rFonts w:hint="eastAsia" w:ascii="Arial" w:hAnsi="Arial" w:eastAsia="Arial" w:cs="Arial"/>
      </w:rPr>
      <w:t xml:space="preserve">                         </w:t>
    </w:r>
    <w:r>
      <w:rPr>
        <w:rFonts w:hint="eastAsia" w:ascii="Arial" w:hAnsi="Arial" w:cs="Arial"/>
        <w:lang w:val="en-US" w:eastAsia="zh-CN"/>
      </w:rPr>
      <w:t xml:space="preserve">       </w:t>
    </w:r>
    <w:r>
      <w:rPr>
        <w:rFonts w:hint="eastAsia" w:ascii="Arial" w:hAnsi="Arial" w:eastAsia="Arial" w:cs="Arial"/>
      </w:rPr>
      <w:t xml:space="preserve">  </w:t>
    </w:r>
    <w:r>
      <w:rPr>
        <w:rFonts w:hint="eastAsia" w:ascii="Arial" w:hAnsi="Arial" w:cs="Arial"/>
      </w:rPr>
      <w:t xml:space="preserve"> </w:t>
    </w:r>
    <w:r>
      <w:rPr>
        <w:rFonts w:hint="eastAsia" w:ascii="Arial" w:hAnsi="Arial" w:cs="Arial"/>
        <w:lang w:eastAsia="zh-CN"/>
      </w:rPr>
      <w:t xml:space="preserve">JSZC-320509-SZTY-C2025-0019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spacing w:line="14" w:lineRule="auto"/>
      <w:rPr>
        <w:sz w:val="20"/>
      </w:rPr>
      <w:pBdr>
        <w:bottom w:val="single" w:color="auto"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4441190</wp:posOffset>
              </wp:positionH>
              <wp:positionV relativeFrom="page">
                <wp:posOffset>371475</wp:posOffset>
              </wp:positionV>
              <wp:extent cx="2254250" cy="1492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254250" cy="149225"/>
                      </a:xfrm>
                      <a:prstGeom prst="rect">
                        <a:avLst/>
                      </a:prstGeom>
                      <a:noFill/>
                      <a:ln>
                        <a:noFill/>
                        <a:miter/>
                      </a:ln>
                    </wps:spPr>
                    <wps:txbx>
                      <w:txbxContent>
                        <w:p>
                          <w:pPr>
                            <w:ind w:left="20"/>
                            <w:spacing w:line="220" w:lineRule="exact"/>
                            <w:rPr>
                              <w:rFonts w:hint="eastAsia" w:ascii="楷体" w:eastAsia="楷体"/>
                              <w:sz w:val="18"/>
                              <w:lang w:eastAsia="zh-CN"/>
                            </w:rPr>
                          </w:pPr>
                          <w:r>
                            <w:rPr>
                              <w:rFonts w:hint="eastAsia" w:ascii="楷体" w:eastAsia="楷体"/>
                              <w:sz w:val="18"/>
                            </w:rPr>
                            <w:t xml:space="preserve">项目编号：</w:t>
                          </w:r>
                          <w:r>
                            <w:rPr>
                              <w:rFonts w:hint="eastAsia" w:ascii="楷体" w:eastAsia="楷体"/>
                              <w:sz w:val="18"/>
                              <w:lang w:eastAsia="zh-CN"/>
                            </w:rPr>
                            <w:t xml:space="preserve">JSZC-320509-SZTY-C2025-0019</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349.7pt;mso-position-horizontal:absolute;mso-position-vertical-relative:page;margin-top:29.2pt;mso-position-vertical:absolute;width:177.5pt;height:11.8pt;mso-wrap-distance-left:9.0pt;mso-wrap-distance-top:0.0pt;mso-wrap-distance-right:9.0pt;mso-wrap-distance-bottom:0.0pt;visibility:visible;" filled="f" stroked="f">
              <v:textbox inset="0,0,0,0">
                <w:txbxContent>
                  <w:p>
                    <w:pPr>
                      <w:ind w:left="20"/>
                      <w:spacing w:line="220" w:lineRule="exact"/>
                      <w:rPr>
                        <w:rFonts w:hint="eastAsia" w:ascii="楷体" w:eastAsia="楷体"/>
                        <w:sz w:val="18"/>
                        <w:lang w:eastAsia="zh-CN"/>
                      </w:rPr>
                    </w:pPr>
                    <w:r>
                      <w:rPr>
                        <w:rFonts w:hint="eastAsia" w:ascii="楷体" w:eastAsia="楷体"/>
                        <w:sz w:val="18"/>
                      </w:rPr>
                      <w:t xml:space="preserve">项目编号：</w:t>
                    </w:r>
                    <w:r>
                      <w:rPr>
                        <w:rFonts w:hint="eastAsia" w:ascii="楷体" w:eastAsia="楷体"/>
                        <w:sz w:val="18"/>
                        <w:lang w:eastAsia="zh-CN"/>
                      </w:rPr>
                      <w:t xml:space="preserve">JSZC-320509-SZTY-C2025-0019</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887095</wp:posOffset>
              </wp:positionH>
              <wp:positionV relativeFrom="page">
                <wp:posOffset>371475</wp:posOffset>
              </wp:positionV>
              <wp:extent cx="2491740" cy="1485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491740" cy="148590"/>
                      </a:xfrm>
                      <a:prstGeom prst="rect">
                        <a:avLst/>
                      </a:prstGeom>
                      <a:noFill/>
                      <a:ln>
                        <a:noFill/>
                        <a:miter/>
                      </a:ln>
                    </wps:spPr>
                    <wps:txbx>
                      <w:txbxContent>
                        <w:p>
                          <w:pPr>
                            <w:ind w:left="20"/>
                            <w:spacing w:line="220" w:lineRule="exact"/>
                            <w:rPr>
                              <w:rFonts w:ascii="楷体" w:eastAsia="楷体"/>
                              <w:sz w:val="18"/>
                            </w:rPr>
                          </w:pPr>
                          <w:r>
                            <w:rPr>
                              <w:rFonts w:hint="eastAsia" w:ascii="楷体" w:eastAsia="楷体"/>
                              <w:sz w:val="18"/>
                            </w:rPr>
                            <w:t xml:space="preserve">苏州通宜房地产土地评估咨询有限公司</w:t>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69.8pt;mso-position-horizontal:absolute;mso-position-vertical-relative:page;margin-top:29.2pt;mso-position-vertical:absolute;width:196.2pt;height:11.7pt;mso-wrap-distance-left:9.0pt;mso-wrap-distance-top:0.0pt;mso-wrap-distance-right:9.0pt;mso-wrap-distance-bottom:0.0pt;visibility:visible;" filled="f" stroked="f">
              <v:textbox inset="0,0,0,0">
                <w:txbxContent>
                  <w:p>
                    <w:pPr>
                      <w:ind w:left="20"/>
                      <w:spacing w:line="220" w:lineRule="exact"/>
                      <w:rPr>
                        <w:rFonts w:ascii="楷体" w:eastAsia="楷体"/>
                        <w:sz w:val="18"/>
                      </w:rPr>
                    </w:pPr>
                    <w:r>
                      <w:rPr>
                        <w:rFonts w:hint="eastAsia" w:ascii="楷体" w:eastAsia="楷体"/>
                        <w:sz w:val="18"/>
                      </w:rPr>
                      <w:t xml:space="preserve">苏州通宜房地产土地评估咨询有限公司</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6">
    <w:name w:val="Heading 1 Char"/>
    <w:basedOn w:val="1091"/>
    <w:link w:val="1089"/>
    <w:uiPriority w:val="9"/>
    <w:rPr>
      <w:rFonts w:ascii="Arial" w:hAnsi="Arial" w:eastAsia="Arial" w:cs="Arial"/>
      <w:sz w:val="40"/>
      <w:szCs w:val="40"/>
    </w:rPr>
  </w:style>
  <w:style w:type="character" w:styleId="917">
    <w:name w:val="Heading 2 Char"/>
    <w:basedOn w:val="1091"/>
    <w:link w:val="1090"/>
    <w:uiPriority w:val="9"/>
    <w:rPr>
      <w:rFonts w:ascii="Arial" w:hAnsi="Arial" w:eastAsia="Arial" w:cs="Arial"/>
      <w:sz w:val="34"/>
    </w:rPr>
  </w:style>
  <w:style w:type="paragraph" w:styleId="918">
    <w:name w:val="Heading 3"/>
    <w:basedOn w:val="1088"/>
    <w:next w:val="1088"/>
    <w:link w:val="919"/>
    <w:uiPriority w:val="9"/>
    <w:unhideWhenUsed/>
    <w:qFormat/>
    <w:pPr>
      <w:keepLines/>
      <w:keepNext/>
      <w:spacing w:before="320" w:after="200"/>
      <w:outlineLvl w:val="2"/>
    </w:pPr>
    <w:rPr>
      <w:rFonts w:ascii="Arial" w:hAnsi="Arial" w:eastAsia="Arial" w:cs="Arial"/>
      <w:sz w:val="30"/>
      <w:szCs w:val="30"/>
    </w:rPr>
  </w:style>
  <w:style w:type="character" w:styleId="919">
    <w:name w:val="Heading 3 Char"/>
    <w:basedOn w:val="1091"/>
    <w:link w:val="918"/>
    <w:uiPriority w:val="9"/>
    <w:rPr>
      <w:rFonts w:ascii="Arial" w:hAnsi="Arial" w:eastAsia="Arial" w:cs="Arial"/>
      <w:sz w:val="30"/>
      <w:szCs w:val="30"/>
    </w:rPr>
  </w:style>
  <w:style w:type="paragraph" w:styleId="920">
    <w:name w:val="Heading 4"/>
    <w:basedOn w:val="1088"/>
    <w:next w:val="1088"/>
    <w:link w:val="921"/>
    <w:uiPriority w:val="9"/>
    <w:unhideWhenUsed/>
    <w:qFormat/>
    <w:pPr>
      <w:keepLines/>
      <w:keepNext/>
      <w:spacing w:before="320" w:after="200"/>
      <w:outlineLvl w:val="3"/>
    </w:pPr>
    <w:rPr>
      <w:rFonts w:ascii="Arial" w:hAnsi="Arial" w:eastAsia="Arial" w:cs="Arial"/>
      <w:b/>
      <w:bCs/>
      <w:sz w:val="26"/>
      <w:szCs w:val="26"/>
    </w:rPr>
  </w:style>
  <w:style w:type="character" w:styleId="921">
    <w:name w:val="Heading 4 Char"/>
    <w:basedOn w:val="1091"/>
    <w:link w:val="920"/>
    <w:uiPriority w:val="9"/>
    <w:rPr>
      <w:rFonts w:ascii="Arial" w:hAnsi="Arial" w:eastAsia="Arial" w:cs="Arial"/>
      <w:b/>
      <w:bCs/>
      <w:sz w:val="26"/>
      <w:szCs w:val="26"/>
    </w:rPr>
  </w:style>
  <w:style w:type="paragraph" w:styleId="922">
    <w:name w:val="Heading 5"/>
    <w:basedOn w:val="1088"/>
    <w:next w:val="1088"/>
    <w:link w:val="923"/>
    <w:uiPriority w:val="9"/>
    <w:unhideWhenUsed/>
    <w:qFormat/>
    <w:pPr>
      <w:keepLines/>
      <w:keepNext/>
      <w:spacing w:before="320" w:after="200"/>
      <w:outlineLvl w:val="4"/>
    </w:pPr>
    <w:rPr>
      <w:rFonts w:ascii="Arial" w:hAnsi="Arial" w:eastAsia="Arial" w:cs="Arial"/>
      <w:b/>
      <w:bCs/>
      <w:sz w:val="24"/>
      <w:szCs w:val="24"/>
    </w:rPr>
  </w:style>
  <w:style w:type="character" w:styleId="923">
    <w:name w:val="Heading 5 Char"/>
    <w:basedOn w:val="1091"/>
    <w:link w:val="922"/>
    <w:uiPriority w:val="9"/>
    <w:rPr>
      <w:rFonts w:ascii="Arial" w:hAnsi="Arial" w:eastAsia="Arial" w:cs="Arial"/>
      <w:b/>
      <w:bCs/>
      <w:sz w:val="24"/>
      <w:szCs w:val="24"/>
    </w:rPr>
  </w:style>
  <w:style w:type="paragraph" w:styleId="924">
    <w:name w:val="Heading 6"/>
    <w:basedOn w:val="1088"/>
    <w:next w:val="1088"/>
    <w:link w:val="925"/>
    <w:uiPriority w:val="9"/>
    <w:unhideWhenUsed/>
    <w:qFormat/>
    <w:pPr>
      <w:keepLines/>
      <w:keepNext/>
      <w:spacing w:before="320" w:after="200"/>
      <w:outlineLvl w:val="5"/>
    </w:pPr>
    <w:rPr>
      <w:rFonts w:ascii="Arial" w:hAnsi="Arial" w:eastAsia="Arial" w:cs="Arial"/>
      <w:b/>
      <w:bCs/>
      <w:sz w:val="22"/>
      <w:szCs w:val="22"/>
    </w:rPr>
  </w:style>
  <w:style w:type="character" w:styleId="925">
    <w:name w:val="Heading 6 Char"/>
    <w:basedOn w:val="1091"/>
    <w:link w:val="924"/>
    <w:uiPriority w:val="9"/>
    <w:rPr>
      <w:rFonts w:ascii="Arial" w:hAnsi="Arial" w:eastAsia="Arial" w:cs="Arial"/>
      <w:b/>
      <w:bCs/>
      <w:sz w:val="22"/>
      <w:szCs w:val="22"/>
    </w:rPr>
  </w:style>
  <w:style w:type="paragraph" w:styleId="926">
    <w:name w:val="Heading 7"/>
    <w:basedOn w:val="1088"/>
    <w:next w:val="1088"/>
    <w:link w:val="927"/>
    <w:uiPriority w:val="9"/>
    <w:unhideWhenUsed/>
    <w:qFormat/>
    <w:pPr>
      <w:keepLines/>
      <w:keepNext/>
      <w:spacing w:before="320" w:after="200"/>
      <w:outlineLvl w:val="6"/>
    </w:pPr>
    <w:rPr>
      <w:rFonts w:ascii="Arial" w:hAnsi="Arial" w:eastAsia="Arial" w:cs="Arial"/>
      <w:b/>
      <w:bCs/>
      <w:i/>
      <w:iCs/>
      <w:sz w:val="22"/>
      <w:szCs w:val="22"/>
    </w:rPr>
  </w:style>
  <w:style w:type="character" w:styleId="927">
    <w:name w:val="Heading 7 Char"/>
    <w:basedOn w:val="1091"/>
    <w:link w:val="926"/>
    <w:uiPriority w:val="9"/>
    <w:rPr>
      <w:rFonts w:ascii="Arial" w:hAnsi="Arial" w:eastAsia="Arial" w:cs="Arial"/>
      <w:b/>
      <w:bCs/>
      <w:i/>
      <w:iCs/>
      <w:sz w:val="22"/>
      <w:szCs w:val="22"/>
    </w:rPr>
  </w:style>
  <w:style w:type="paragraph" w:styleId="928">
    <w:name w:val="Heading 8"/>
    <w:basedOn w:val="1088"/>
    <w:next w:val="1088"/>
    <w:link w:val="929"/>
    <w:uiPriority w:val="9"/>
    <w:unhideWhenUsed/>
    <w:qFormat/>
    <w:pPr>
      <w:keepLines/>
      <w:keepNext/>
      <w:spacing w:before="320" w:after="200"/>
      <w:outlineLvl w:val="7"/>
    </w:pPr>
    <w:rPr>
      <w:rFonts w:ascii="Arial" w:hAnsi="Arial" w:eastAsia="Arial" w:cs="Arial"/>
      <w:i/>
      <w:iCs/>
      <w:sz w:val="22"/>
      <w:szCs w:val="22"/>
    </w:rPr>
  </w:style>
  <w:style w:type="character" w:styleId="929">
    <w:name w:val="Heading 8 Char"/>
    <w:basedOn w:val="1091"/>
    <w:link w:val="928"/>
    <w:uiPriority w:val="9"/>
    <w:rPr>
      <w:rFonts w:ascii="Arial" w:hAnsi="Arial" w:eastAsia="Arial" w:cs="Arial"/>
      <w:i/>
      <w:iCs/>
      <w:sz w:val="22"/>
      <w:szCs w:val="22"/>
    </w:rPr>
  </w:style>
  <w:style w:type="paragraph" w:styleId="930">
    <w:name w:val="Heading 9"/>
    <w:basedOn w:val="1088"/>
    <w:next w:val="1088"/>
    <w:link w:val="931"/>
    <w:uiPriority w:val="9"/>
    <w:unhideWhenUsed/>
    <w:qFormat/>
    <w:pPr>
      <w:keepLines/>
      <w:keepNext/>
      <w:spacing w:before="320" w:after="200"/>
      <w:outlineLvl w:val="8"/>
    </w:pPr>
    <w:rPr>
      <w:rFonts w:ascii="Arial" w:hAnsi="Arial" w:eastAsia="Arial" w:cs="Arial"/>
      <w:i/>
      <w:iCs/>
      <w:sz w:val="21"/>
      <w:szCs w:val="21"/>
    </w:rPr>
  </w:style>
  <w:style w:type="character" w:styleId="931">
    <w:name w:val="Heading 9 Char"/>
    <w:basedOn w:val="1091"/>
    <w:link w:val="930"/>
    <w:uiPriority w:val="9"/>
    <w:rPr>
      <w:rFonts w:ascii="Arial" w:hAnsi="Arial" w:eastAsia="Arial" w:cs="Arial"/>
      <w:i/>
      <w:iCs/>
      <w:sz w:val="21"/>
      <w:szCs w:val="21"/>
    </w:rPr>
  </w:style>
  <w:style w:type="paragraph" w:styleId="932">
    <w:name w:val="List Paragraph"/>
    <w:basedOn w:val="1088"/>
    <w:uiPriority w:val="34"/>
    <w:qFormat/>
    <w:pPr>
      <w:contextualSpacing/>
      <w:ind w:left="720"/>
    </w:pPr>
  </w:style>
  <w:style w:type="paragraph" w:styleId="933">
    <w:name w:val="No Spacing"/>
    <w:uiPriority w:val="1"/>
    <w:qFormat/>
    <w:pPr>
      <w:spacing w:before="0" w:after="0" w:line="240" w:lineRule="auto"/>
    </w:pPr>
  </w:style>
  <w:style w:type="paragraph" w:styleId="934">
    <w:name w:val="Title"/>
    <w:basedOn w:val="1088"/>
    <w:next w:val="1088"/>
    <w:link w:val="935"/>
    <w:uiPriority w:val="10"/>
    <w:qFormat/>
    <w:pPr>
      <w:contextualSpacing/>
      <w:spacing w:before="300" w:after="200"/>
    </w:pPr>
    <w:rPr>
      <w:sz w:val="48"/>
      <w:szCs w:val="48"/>
    </w:rPr>
  </w:style>
  <w:style w:type="character" w:styleId="935">
    <w:name w:val="Title Char"/>
    <w:basedOn w:val="1091"/>
    <w:link w:val="934"/>
    <w:uiPriority w:val="10"/>
    <w:rPr>
      <w:sz w:val="48"/>
      <w:szCs w:val="48"/>
    </w:rPr>
  </w:style>
  <w:style w:type="paragraph" w:styleId="936">
    <w:name w:val="Subtitle"/>
    <w:basedOn w:val="1088"/>
    <w:next w:val="1088"/>
    <w:link w:val="937"/>
    <w:uiPriority w:val="11"/>
    <w:qFormat/>
    <w:pPr>
      <w:spacing w:before="200" w:after="200"/>
    </w:pPr>
    <w:rPr>
      <w:sz w:val="24"/>
      <w:szCs w:val="24"/>
    </w:rPr>
  </w:style>
  <w:style w:type="character" w:styleId="937">
    <w:name w:val="Subtitle Char"/>
    <w:basedOn w:val="1091"/>
    <w:link w:val="936"/>
    <w:uiPriority w:val="11"/>
    <w:rPr>
      <w:sz w:val="24"/>
      <w:szCs w:val="24"/>
    </w:rPr>
  </w:style>
  <w:style w:type="paragraph" w:styleId="938">
    <w:name w:val="Quote"/>
    <w:basedOn w:val="1088"/>
    <w:next w:val="1088"/>
    <w:link w:val="939"/>
    <w:uiPriority w:val="29"/>
    <w:qFormat/>
    <w:pPr>
      <w:ind w:left="720" w:right="720"/>
    </w:pPr>
    <w:rPr>
      <w:i/>
    </w:rPr>
  </w:style>
  <w:style w:type="character" w:styleId="939">
    <w:name w:val="Quote Char"/>
    <w:link w:val="938"/>
    <w:uiPriority w:val="29"/>
    <w:rPr>
      <w:i/>
    </w:rPr>
  </w:style>
  <w:style w:type="paragraph" w:styleId="940">
    <w:name w:val="Intense Quote"/>
    <w:basedOn w:val="1088"/>
    <w:next w:val="1088"/>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name w:val="Intense Quote Char"/>
    <w:link w:val="940"/>
    <w:uiPriority w:val="30"/>
    <w:rPr>
      <w:i/>
    </w:rPr>
  </w:style>
  <w:style w:type="character" w:styleId="942">
    <w:name w:val="Header Char"/>
    <w:basedOn w:val="1091"/>
    <w:link w:val="1098"/>
    <w:uiPriority w:val="99"/>
  </w:style>
  <w:style w:type="character" w:styleId="943">
    <w:name w:val="Footer Char"/>
    <w:basedOn w:val="1091"/>
    <w:link w:val="1097"/>
    <w:uiPriority w:val="99"/>
  </w:style>
  <w:style w:type="paragraph" w:styleId="944">
    <w:name w:val="Caption"/>
    <w:basedOn w:val="1088"/>
    <w:next w:val="1088"/>
    <w:uiPriority w:val="35"/>
    <w:semiHidden/>
    <w:unhideWhenUsed/>
    <w:qFormat/>
    <w:pPr>
      <w:spacing w:line="276" w:lineRule="auto"/>
    </w:pPr>
    <w:rPr>
      <w:b/>
      <w:bCs/>
      <w:color w:val="4f81bd" w:themeColor="accent1"/>
      <w:sz w:val="18"/>
      <w:szCs w:val="18"/>
    </w:rPr>
  </w:style>
  <w:style w:type="character" w:styleId="945">
    <w:name w:val="Caption Char"/>
    <w:basedOn w:val="944"/>
    <w:link w:val="1097"/>
    <w:uiPriority w:val="99"/>
  </w:style>
  <w:style w:type="table" w:styleId="946">
    <w:name w:val="Table Grid Light"/>
    <w:basedOn w:val="10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7">
    <w:name w:val="Plain Table 1"/>
    <w:basedOn w:val="10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2"/>
    <w:basedOn w:val="10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3"/>
    <w:basedOn w:val="10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name w:val="Plain Table 4"/>
    <w:basedOn w:val="10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name w:val="Plain Table 5"/>
    <w:basedOn w:val="10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2">
    <w:name w:val="Grid Table 1 Light"/>
    <w:basedOn w:val="10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3">
    <w:name w:val="Grid Table 1 Light - Accent 1"/>
    <w:basedOn w:val="10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4">
    <w:name w:val="Grid Table 1 Light - Accent 2"/>
    <w:basedOn w:val="10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5">
    <w:name w:val="Grid Table 1 Light - Accent 3"/>
    <w:basedOn w:val="10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6">
    <w:name w:val="Grid Table 1 Light - Accent 4"/>
    <w:basedOn w:val="10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7">
    <w:name w:val="Grid Table 1 Light - Accent 5"/>
    <w:basedOn w:val="10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8">
    <w:name w:val="Grid Table 1 Light - Accent 6"/>
    <w:basedOn w:val="10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9">
    <w:name w:val="Grid Table 2"/>
    <w:basedOn w:val="10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0">
    <w:name w:val="Grid Table 2 - Accent 1"/>
    <w:basedOn w:val="10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1">
    <w:name w:val="Grid Table 2 - Accent 2"/>
    <w:basedOn w:val="10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2 - Accent 3"/>
    <w:basedOn w:val="10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2 - Accent 4"/>
    <w:basedOn w:val="10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2 - Accent 5"/>
    <w:basedOn w:val="10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5">
    <w:name w:val="Grid Table 2 - Accent 6"/>
    <w:basedOn w:val="10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6">
    <w:name w:val="Grid Table 3"/>
    <w:basedOn w:val="10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1"/>
    <w:basedOn w:val="10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2"/>
    <w:basedOn w:val="10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3"/>
    <w:basedOn w:val="10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4"/>
    <w:basedOn w:val="10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5"/>
    <w:basedOn w:val="10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6"/>
    <w:basedOn w:val="10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4"/>
    <w:basedOn w:val="10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name w:val="Grid Table 4 - Accent 1"/>
    <w:basedOn w:val="10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5">
    <w:name w:val="Grid Table 4 - Accent 2"/>
    <w:basedOn w:val="10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6">
    <w:name w:val="Grid Table 4 - Accent 3"/>
    <w:basedOn w:val="10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7">
    <w:name w:val="Grid Table 4 - Accent 4"/>
    <w:basedOn w:val="10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8">
    <w:name w:val="Grid Table 4 - Accent 5"/>
    <w:basedOn w:val="10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9">
    <w:name w:val="Grid Table 4 - Accent 6"/>
    <w:basedOn w:val="10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0">
    <w:name w:val="Grid Table 5 Dark"/>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1">
    <w:name w:val="Grid Table 5 Dark- Accent 1"/>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82">
    <w:name w:val="Grid Table 5 Dark - Accent 2"/>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83">
    <w:name w:val="Grid Table 5 Dark - Accent 3"/>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84">
    <w:name w:val="Grid Table 5 Dark- Accent 4"/>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85">
    <w:name w:val="Grid Table 5 Dark - Accent 5"/>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86">
    <w:name w:val="Grid Table 5 Dark - Accent 6"/>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87">
    <w:name w:val="Grid Table 6 Colorful"/>
    <w:basedOn w:val="10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8">
    <w:name w:val="Grid Table 6 Colorful - Accent 1"/>
    <w:basedOn w:val="10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89">
    <w:name w:val="Grid Table 6 Colorful - Accent 2"/>
    <w:basedOn w:val="10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90">
    <w:name w:val="Grid Table 6 Colorful - Accent 3"/>
    <w:basedOn w:val="10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91">
    <w:name w:val="Grid Table 6 Colorful - Accent 4"/>
    <w:basedOn w:val="10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92">
    <w:name w:val="Grid Table 6 Colorful - Accent 5"/>
    <w:basedOn w:val="10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93">
    <w:name w:val="Grid Table 6 Colorful - Accent 6"/>
    <w:basedOn w:val="10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94">
    <w:name w:val="Grid Table 7 Colorful"/>
    <w:basedOn w:val="10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5">
    <w:name w:val="Grid Table 7 Colorful - Accent 1"/>
    <w:basedOn w:val="10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6">
    <w:name w:val="Grid Table 7 Colorful - Accent 2"/>
    <w:basedOn w:val="10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7">
    <w:name w:val="Grid Table 7 Colorful - Accent 3"/>
    <w:basedOn w:val="10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8">
    <w:name w:val="Grid Table 7 Colorful - Accent 4"/>
    <w:basedOn w:val="10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9">
    <w:name w:val="Grid Table 7 Colorful - Accent 5"/>
    <w:basedOn w:val="10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0">
    <w:name w:val="Grid Table 7 Colorful - Accent 6"/>
    <w:basedOn w:val="10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1">
    <w:name w:val="List Table 1 Light"/>
    <w:basedOn w:val="10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name w:val="List Table 1 Light - Accent 1"/>
    <w:basedOn w:val="109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3">
    <w:name w:val="List Table 1 Light - Accent 2"/>
    <w:basedOn w:val="109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4">
    <w:name w:val="List Table 1 Light - Accent 3"/>
    <w:basedOn w:val="109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5">
    <w:name w:val="List Table 1 Light - Accent 4"/>
    <w:basedOn w:val="109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6">
    <w:name w:val="List Table 1 Light - Accent 5"/>
    <w:basedOn w:val="109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7">
    <w:name w:val="List Table 1 Light - Accent 6"/>
    <w:basedOn w:val="109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8">
    <w:name w:val="List Table 2"/>
    <w:basedOn w:val="10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9">
    <w:name w:val="List Table 2 - Accent 1"/>
    <w:basedOn w:val="10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0">
    <w:name w:val="List Table 2 - Accent 2"/>
    <w:basedOn w:val="10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1">
    <w:name w:val="List Table 2 - Accent 3"/>
    <w:basedOn w:val="10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2">
    <w:name w:val="List Table 2 - Accent 4"/>
    <w:basedOn w:val="10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3">
    <w:name w:val="List Table 2 - Accent 5"/>
    <w:basedOn w:val="10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4">
    <w:name w:val="List Table 2 - Accent 6"/>
    <w:basedOn w:val="10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5">
    <w:name w:val="List Table 3"/>
    <w:basedOn w:val="10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6">
    <w:name w:val="List Table 3 - Accent 1"/>
    <w:basedOn w:val="10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17">
    <w:name w:val="List Table 3 - Accent 2"/>
    <w:basedOn w:val="10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18">
    <w:name w:val="List Table 3 - Accent 3"/>
    <w:basedOn w:val="10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19">
    <w:name w:val="List Table 3 - Accent 4"/>
    <w:basedOn w:val="10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20">
    <w:name w:val="List Table 3 - Accent 5"/>
    <w:basedOn w:val="10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021">
    <w:name w:val="List Table 3 - Accent 6"/>
    <w:basedOn w:val="10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22">
    <w:name w:val="List Table 4"/>
    <w:basedOn w:val="10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3">
    <w:name w:val="List Table 4 - Accent 1"/>
    <w:basedOn w:val="10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24">
    <w:name w:val="List Table 4 - Accent 2"/>
    <w:basedOn w:val="10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25">
    <w:name w:val="List Table 4 - Accent 3"/>
    <w:basedOn w:val="10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26">
    <w:name w:val="List Table 4 - Accent 4"/>
    <w:basedOn w:val="10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27">
    <w:name w:val="List Table 4 - Accent 5"/>
    <w:basedOn w:val="10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028">
    <w:name w:val="List Table 4 - Accent 6"/>
    <w:basedOn w:val="10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29">
    <w:name w:val="List Table 5 Dark"/>
    <w:basedOn w:val="10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1"/>
    <w:basedOn w:val="10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2"/>
    <w:basedOn w:val="10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3"/>
    <w:basedOn w:val="10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4"/>
    <w:basedOn w:val="10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5"/>
    <w:basedOn w:val="10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6"/>
    <w:basedOn w:val="10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6 Colorful"/>
    <w:basedOn w:val="10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7">
    <w:name w:val="List Table 6 Colorful - Accent 1"/>
    <w:basedOn w:val="10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38">
    <w:name w:val="List Table 6 Colorful - Accent 2"/>
    <w:basedOn w:val="10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39">
    <w:name w:val="List Table 6 Colorful - Accent 3"/>
    <w:basedOn w:val="10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40">
    <w:name w:val="List Table 6 Colorful - Accent 4"/>
    <w:basedOn w:val="10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41">
    <w:name w:val="List Table 6 Colorful - Accent 5"/>
    <w:basedOn w:val="10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42">
    <w:name w:val="List Table 6 Colorful - Accent 6"/>
    <w:basedOn w:val="10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43">
    <w:name w:val="List Table 7 Colorful"/>
    <w:basedOn w:val="10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4">
    <w:name w:val="List Table 7 Colorful - Accent 1"/>
    <w:basedOn w:val="10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45">
    <w:name w:val="List Table 7 Colorful - Accent 2"/>
    <w:basedOn w:val="10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46">
    <w:name w:val="List Table 7 Colorful - Accent 3"/>
    <w:basedOn w:val="10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47">
    <w:name w:val="List Table 7 Colorful - Accent 4"/>
    <w:basedOn w:val="10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48">
    <w:name w:val="List Table 7 Colorful - Accent 5"/>
    <w:basedOn w:val="10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49">
    <w:name w:val="List Table 7 Colorful - Accent 6"/>
    <w:basedOn w:val="10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50">
    <w:name w:val="Lined - Accent"/>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1">
    <w:name w:val="Lined - Accent 1"/>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52">
    <w:name w:val="Lined - Accent 2"/>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3">
    <w:name w:val="Lined - Accent 3"/>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54">
    <w:name w:val="Lined - Accent 4"/>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55">
    <w:name w:val="Lined - Accent 5"/>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56">
    <w:name w:val="Lined - Accent 6"/>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57">
    <w:name w:val="Bordered &amp; Lined - Accent"/>
    <w:basedOn w:val="10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8">
    <w:name w:val="Bordered &amp; Lined - Accent 1"/>
    <w:basedOn w:val="10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59">
    <w:name w:val="Bordered &amp; Lined - Accent 2"/>
    <w:basedOn w:val="10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60">
    <w:name w:val="Bordered &amp; Lined - Accent 3"/>
    <w:basedOn w:val="10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61">
    <w:name w:val="Bordered &amp; Lined - Accent 4"/>
    <w:basedOn w:val="10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62">
    <w:name w:val="Bordered &amp; Lined - Accent 5"/>
    <w:basedOn w:val="10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63">
    <w:name w:val="Bordered &amp; Lined - Accent 6"/>
    <w:basedOn w:val="10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64">
    <w:name w:val="Bordered"/>
    <w:basedOn w:val="10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5">
    <w:name w:val="Bordered - Accent 1"/>
    <w:basedOn w:val="10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6">
    <w:name w:val="Bordered - Accent 2"/>
    <w:basedOn w:val="10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7">
    <w:name w:val="Bordered - Accent 3"/>
    <w:basedOn w:val="10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8">
    <w:name w:val="Bordered - Accent 4"/>
    <w:basedOn w:val="10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9">
    <w:name w:val="Bordered - Accent 5"/>
    <w:basedOn w:val="10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0">
    <w:name w:val="Bordered - Accent 6"/>
    <w:basedOn w:val="10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1">
    <w:name w:val="Hyperlink"/>
    <w:uiPriority w:val="99"/>
    <w:unhideWhenUsed/>
    <w:rPr>
      <w:color w:val="0000ff" w:themeColor="hyperlink"/>
      <w:u w:val="single"/>
    </w:rPr>
  </w:style>
  <w:style w:type="paragraph" w:styleId="1072">
    <w:name w:val="footnote text"/>
    <w:basedOn w:val="1088"/>
    <w:link w:val="1073"/>
    <w:uiPriority w:val="99"/>
    <w:semiHidden/>
    <w:unhideWhenUsed/>
    <w:pPr>
      <w:spacing w:after="40" w:line="240" w:lineRule="auto"/>
    </w:pPr>
    <w:rPr>
      <w:sz w:val="18"/>
    </w:rPr>
  </w:style>
  <w:style w:type="character" w:styleId="1073">
    <w:name w:val="Footnote Text Char"/>
    <w:link w:val="1072"/>
    <w:uiPriority w:val="99"/>
    <w:rPr>
      <w:sz w:val="18"/>
    </w:rPr>
  </w:style>
  <w:style w:type="character" w:styleId="1074">
    <w:name w:val="footnote reference"/>
    <w:basedOn w:val="1091"/>
    <w:uiPriority w:val="99"/>
    <w:unhideWhenUsed/>
    <w:rPr>
      <w:vertAlign w:val="superscript"/>
    </w:rPr>
  </w:style>
  <w:style w:type="paragraph" w:styleId="1075">
    <w:name w:val="endnote text"/>
    <w:basedOn w:val="1088"/>
    <w:link w:val="1076"/>
    <w:uiPriority w:val="99"/>
    <w:semiHidden/>
    <w:unhideWhenUsed/>
    <w:pPr>
      <w:spacing w:after="0" w:line="240" w:lineRule="auto"/>
    </w:pPr>
    <w:rPr>
      <w:sz w:val="20"/>
    </w:rPr>
  </w:style>
  <w:style w:type="character" w:styleId="1076">
    <w:name w:val="Endnote Text Char"/>
    <w:link w:val="1075"/>
    <w:uiPriority w:val="99"/>
    <w:rPr>
      <w:sz w:val="20"/>
    </w:rPr>
  </w:style>
  <w:style w:type="character" w:styleId="1077">
    <w:name w:val="endnote reference"/>
    <w:basedOn w:val="1091"/>
    <w:uiPriority w:val="99"/>
    <w:semiHidden/>
    <w:unhideWhenUsed/>
    <w:rPr>
      <w:vertAlign w:val="superscript"/>
    </w:rPr>
  </w:style>
  <w:style w:type="paragraph" w:styleId="1078">
    <w:name w:val="toc 1"/>
    <w:basedOn w:val="1088"/>
    <w:next w:val="1088"/>
    <w:uiPriority w:val="39"/>
    <w:unhideWhenUsed/>
    <w:pPr>
      <w:ind w:left="0" w:right="0" w:firstLine="0"/>
      <w:spacing w:after="57"/>
    </w:pPr>
  </w:style>
  <w:style w:type="paragraph" w:styleId="1079">
    <w:name w:val="toc 2"/>
    <w:basedOn w:val="1088"/>
    <w:next w:val="1088"/>
    <w:uiPriority w:val="39"/>
    <w:unhideWhenUsed/>
    <w:pPr>
      <w:ind w:left="283" w:right="0" w:firstLine="0"/>
      <w:spacing w:after="57"/>
    </w:pPr>
  </w:style>
  <w:style w:type="paragraph" w:styleId="1080">
    <w:name w:val="toc 3"/>
    <w:basedOn w:val="1088"/>
    <w:next w:val="1088"/>
    <w:uiPriority w:val="39"/>
    <w:unhideWhenUsed/>
    <w:pPr>
      <w:ind w:left="567" w:right="0" w:firstLine="0"/>
      <w:spacing w:after="57"/>
    </w:pPr>
  </w:style>
  <w:style w:type="paragraph" w:styleId="1081">
    <w:name w:val="toc 5"/>
    <w:basedOn w:val="1088"/>
    <w:next w:val="1088"/>
    <w:uiPriority w:val="39"/>
    <w:unhideWhenUsed/>
    <w:pPr>
      <w:ind w:left="1134" w:right="0" w:firstLine="0"/>
      <w:spacing w:after="57"/>
    </w:pPr>
  </w:style>
  <w:style w:type="paragraph" w:styleId="1082">
    <w:name w:val="toc 6"/>
    <w:basedOn w:val="1088"/>
    <w:next w:val="1088"/>
    <w:uiPriority w:val="39"/>
    <w:unhideWhenUsed/>
    <w:pPr>
      <w:ind w:left="1417" w:right="0" w:firstLine="0"/>
      <w:spacing w:after="57"/>
    </w:pPr>
  </w:style>
  <w:style w:type="paragraph" w:styleId="1083">
    <w:name w:val="toc 7"/>
    <w:basedOn w:val="1088"/>
    <w:next w:val="1088"/>
    <w:uiPriority w:val="39"/>
    <w:unhideWhenUsed/>
    <w:pPr>
      <w:ind w:left="1701" w:right="0" w:firstLine="0"/>
      <w:spacing w:after="57"/>
    </w:pPr>
  </w:style>
  <w:style w:type="paragraph" w:styleId="1084">
    <w:name w:val="toc 8"/>
    <w:basedOn w:val="1088"/>
    <w:next w:val="1088"/>
    <w:uiPriority w:val="39"/>
    <w:unhideWhenUsed/>
    <w:pPr>
      <w:ind w:left="1984" w:right="0" w:firstLine="0"/>
      <w:spacing w:after="57"/>
    </w:pPr>
  </w:style>
  <w:style w:type="paragraph" w:styleId="1085">
    <w:name w:val="toc 9"/>
    <w:basedOn w:val="1088"/>
    <w:next w:val="1088"/>
    <w:uiPriority w:val="39"/>
    <w:unhideWhenUsed/>
    <w:pPr>
      <w:ind w:left="2268" w:right="0" w:firstLine="0"/>
      <w:spacing w:after="57"/>
    </w:pPr>
  </w:style>
  <w:style w:type="paragraph" w:styleId="1086">
    <w:name w:val="TOC Heading"/>
    <w:uiPriority w:val="39"/>
    <w:unhideWhenUsed/>
  </w:style>
  <w:style w:type="paragraph" w:styleId="1087">
    <w:name w:val="table of figures"/>
    <w:basedOn w:val="1088"/>
    <w:next w:val="1088"/>
    <w:uiPriority w:val="99"/>
    <w:unhideWhenUsed/>
    <w:pPr>
      <w:spacing w:after="0" w:afterAutospacing="0"/>
    </w:pPr>
  </w:style>
  <w:style w:type="paragraph" w:styleId="1088" w:default="1">
    <w:name w:val="Normal"/>
    <w:next w:val="1093"/>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089">
    <w:name w:val="Heading 1"/>
    <w:basedOn w:val="1088"/>
    <w:next w:val="1088"/>
    <w:link w:val="1109"/>
    <w:uiPriority w:val="0"/>
    <w:qFormat/>
    <w:pPr>
      <w:jc w:val="center"/>
      <w:keepLines/>
      <w:keepNext/>
      <w:spacing w:before="160" w:after="160" w:line="480" w:lineRule="auto"/>
      <w:outlineLvl w:val="0"/>
    </w:pPr>
    <w:rPr>
      <w:b/>
      <w:bCs/>
      <w:sz w:val="32"/>
      <w:szCs w:val="44"/>
    </w:rPr>
  </w:style>
  <w:style w:type="paragraph" w:styleId="1090">
    <w:name w:val="Heading 2"/>
    <w:basedOn w:val="1088"/>
    <w:next w:val="1088"/>
    <w:uiPriority w:val="0"/>
    <w:qFormat/>
    <w:pPr>
      <w:keepLines/>
      <w:keepNext/>
      <w:spacing w:before="260" w:after="260" w:line="416" w:lineRule="auto"/>
      <w:outlineLvl w:val="1"/>
    </w:pPr>
    <w:rPr>
      <w:rFonts w:ascii="Cambria" w:hAnsi="Cambria"/>
      <w:b/>
      <w:sz w:val="32"/>
    </w:rPr>
  </w:style>
  <w:style w:type="character" w:styleId="1091" w:default="1">
    <w:name w:val="Default Paragraph Font"/>
    <w:uiPriority w:val="0"/>
    <w:semiHidden/>
    <w:qFormat/>
  </w:style>
  <w:style w:type="table" w:styleId="1092" w:default="1">
    <w:name w:val="Normal Table"/>
    <w:uiPriority w:val="0"/>
    <w:semiHidden/>
    <w:qFormat/>
    <w:tblPr>
      <w:tblCellMar>
        <w:left w:w="108" w:type="dxa"/>
        <w:top w:w="0" w:type="dxa"/>
        <w:right w:w="108" w:type="dxa"/>
        <w:bottom w:w="0" w:type="dxa"/>
      </w:tblCellMar>
    </w:tblPr>
  </w:style>
  <w:style w:type="paragraph" w:styleId="1093" w:customStyle="1">
    <w:name w:val="段"/>
    <w:next w:val="1088"/>
    <w:uiPriority w:val="0"/>
    <w:qFormat/>
    <w:pPr>
      <w:ind w:firstLine="200"/>
      <w:jc w:val="both"/>
    </w:pPr>
    <w:rPr>
      <w:rFonts w:hint="default" w:ascii="宋体" w:hAnsi="Times New Roman" w:eastAsia="宋体" w:cs="Times New Roman"/>
      <w:sz w:val="21"/>
      <w:lang w:val="en-US" w:eastAsia="zh-CN" w:bidi="ar-SA"/>
    </w:rPr>
  </w:style>
  <w:style w:type="paragraph" w:styleId="1094">
    <w:name w:val="Body Text"/>
    <w:basedOn w:val="1088"/>
    <w:uiPriority w:val="0"/>
    <w:qFormat/>
    <w:pPr>
      <w:tabs>
        <w:tab w:val="left" w:pos="5250" w:leader="none"/>
      </w:tabs>
    </w:pPr>
    <w:rPr>
      <w:sz w:val="28"/>
    </w:rPr>
  </w:style>
  <w:style w:type="paragraph" w:styleId="1095">
    <w:name w:val="Body Text Indent"/>
    <w:basedOn w:val="1088"/>
    <w:next w:val="1096"/>
    <w:uiPriority w:val="0"/>
    <w:qFormat/>
    <w:pPr>
      <w:ind w:left="420"/>
      <w:spacing w:after="120"/>
    </w:pPr>
  </w:style>
  <w:style w:type="paragraph" w:styleId="1096">
    <w:name w:val="envelope return"/>
    <w:basedOn w:val="1088"/>
    <w:uiPriority w:val="0"/>
    <w:qFormat/>
    <w:rPr>
      <w:rFonts w:ascii="Arial" w:hAnsi="Arial"/>
    </w:rPr>
  </w:style>
  <w:style w:type="paragraph" w:styleId="1097">
    <w:name w:val="Footer"/>
    <w:basedOn w:val="1088"/>
    <w:uiPriority w:val="99"/>
    <w:unhideWhenUsed/>
    <w:qFormat/>
    <w:pPr>
      <w:spacing w:line="240" w:lineRule="auto"/>
      <w:tabs>
        <w:tab w:val="center" w:pos="7143" w:leader="none"/>
        <w:tab w:val="right" w:pos="14287" w:leader="none"/>
      </w:tabs>
    </w:pPr>
  </w:style>
  <w:style w:type="paragraph" w:styleId="1098">
    <w:name w:val="Header"/>
    <w:basedOn w:val="1088"/>
    <w:uiPriority w:val="99"/>
    <w:unhideWhenUsed/>
    <w:qFormat/>
    <w:pPr>
      <w:spacing w:line="240" w:lineRule="auto"/>
      <w:tabs>
        <w:tab w:val="center" w:pos="7143" w:leader="none"/>
        <w:tab w:val="right" w:pos="14287" w:leader="none"/>
      </w:tabs>
    </w:pPr>
  </w:style>
  <w:style w:type="paragraph" w:styleId="1099">
    <w:name w:val="toc 4"/>
    <w:basedOn w:val="1088"/>
    <w:next w:val="1088"/>
    <w:uiPriority w:val="39"/>
    <w:unhideWhenUsed/>
    <w:qFormat/>
    <w:pPr>
      <w:ind w:left="850"/>
      <w:spacing w:after="57"/>
    </w:pPr>
  </w:style>
  <w:style w:type="paragraph" w:styleId="1100">
    <w:name w:val="List"/>
    <w:basedOn w:val="1088"/>
    <w:next w:val="1088"/>
    <w:uiPriority w:val="0"/>
    <w:qFormat/>
    <w:pPr>
      <w:ind w:left="420" w:hanging="420"/>
    </w:pPr>
    <w:rPr>
      <w:rFonts w:ascii="Arial" w:hAnsi="Arial" w:eastAsia="楷体_GB2312"/>
      <w:sz w:val="28"/>
    </w:rPr>
  </w:style>
  <w:style w:type="paragraph" w:styleId="1101">
    <w:name w:val="Body Text Indent 3"/>
    <w:basedOn w:val="1088"/>
    <w:uiPriority w:val="0"/>
    <w:qFormat/>
    <w:pPr>
      <w:ind w:firstLine="480"/>
      <w:widowControl/>
    </w:pPr>
    <w:rPr>
      <w:sz w:val="24"/>
    </w:rPr>
  </w:style>
  <w:style w:type="paragraph" w:styleId="1102">
    <w:name w:val="Body Text 2"/>
    <w:basedOn w:val="1088"/>
    <w:uiPriority w:val="0"/>
    <w:qFormat/>
    <w:rPr>
      <w:color w:val="ff0000"/>
    </w:rPr>
  </w:style>
  <w:style w:type="paragraph" w:styleId="1103">
    <w:name w:val="Body Text First Indent 2"/>
    <w:basedOn w:val="1095"/>
    <w:next w:val="1100"/>
    <w:uiPriority w:val="99"/>
    <w:unhideWhenUsed/>
    <w:qFormat/>
    <w:pPr>
      <w:ind w:firstLine="420"/>
    </w:pPr>
  </w:style>
  <w:style w:type="table" w:styleId="11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05" w:customStyle="1">
    <w:name w:val="正文1"/>
    <w:next w:val="1088"/>
    <w:uiPriority w:val="0"/>
    <w:qFormat/>
    <w:pPr>
      <w:ind w:firstLine="480"/>
      <w:jc w:val="both"/>
      <w:widowControl w:val="off"/>
    </w:pPr>
    <w:rPr>
      <w:rFonts w:hint="default" w:ascii="宋体" w:hAnsi="宋体" w:eastAsia="宋体" w:cs="Times New Roman"/>
      <w:sz w:val="24"/>
      <w:szCs w:val="24"/>
      <w:lang w:val="en-US" w:eastAsia="zh-CN" w:bidi="ar-SA"/>
    </w:rPr>
  </w:style>
  <w:style w:type="paragraph" w:styleId="1106" w:customStyle="1">
    <w:name w:val="首行缩进"/>
    <w:basedOn w:val="1088"/>
    <w:uiPriority w:val="0"/>
    <w:qFormat/>
    <w:pPr>
      <w:ind w:firstLine="480"/>
    </w:pPr>
    <w:rPr>
      <w:szCs w:val="20"/>
      <w:lang w:val="zh-CN"/>
    </w:rPr>
  </w:style>
  <w:style w:type="paragraph" w:styleId="1107" w:customStyle="1">
    <w:name w:val="正文文本缩进1"/>
    <w:basedOn w:val="1088"/>
    <w:next w:val="1088"/>
    <w:uiPriority w:val="99"/>
    <w:qFormat/>
    <w:pPr>
      <w:ind w:left="420"/>
      <w:spacing w:after="120"/>
    </w:pPr>
  </w:style>
  <w:style w:type="paragraph" w:styleId="1108" w:customStyle="1">
    <w:name w:val="目录 11"/>
    <w:basedOn w:val="1088"/>
    <w:next w:val="1088"/>
    <w:uiPriority w:val="0"/>
    <w:semiHidden/>
    <w:qFormat/>
    <w:pPr>
      <w:jc w:val="left"/>
    </w:pPr>
    <w:rPr>
      <w:sz w:val="28"/>
      <w:szCs w:val="20"/>
    </w:rPr>
  </w:style>
  <w:style w:type="character" w:styleId="1109" w:customStyle="1">
    <w:name w:val="标题 1 字符"/>
    <w:link w:val="1089"/>
    <w:uiPriority w:val="0"/>
    <w:qFormat/>
    <w:rPr>
      <w:b/>
      <w:bCs/>
      <w:sz w:val="32"/>
      <w:szCs w:val="44"/>
    </w:rPr>
  </w:style>
  <w:style w:type="paragraph" w:styleId="1110" w:customStyle="1">
    <w:name w:val="列出段落1"/>
    <w:basedOn w:val="1088"/>
    <w:uiPriority w:val="34"/>
    <w:qFormat/>
    <w:pPr>
      <w:ind w:firstLine="420"/>
    </w:pPr>
    <w:rPr>
      <w:rFonts w:ascii="Calibri" w:hAnsi="Calibri"/>
      <w:szCs w:val="20"/>
    </w:rPr>
  </w:style>
  <w:style w:type="paragraph" w:styleId="1111" w:customStyle="1">
    <w:name w:val="正文缩进1"/>
    <w:basedOn w:val="1088"/>
    <w:uiPriority w:val="0"/>
    <w:qFormat/>
    <w:pPr>
      <w:ind w:firstLine="420"/>
      <w:jc w:val="left"/>
    </w:pPr>
    <w:rPr>
      <w:sz w:val="24"/>
    </w:rPr>
  </w:style>
  <w:style w:type="paragraph" w:styleId="1112" w:customStyle="1">
    <w:name w:val="p0"/>
    <w:basedOn w:val="1088"/>
    <w:uiPriority w:val="0"/>
    <w:qFormat/>
    <w:pPr>
      <w:jc w:val="left"/>
      <w:widowControl/>
    </w:pPr>
    <w:rPr>
      <w:sz w:val="24"/>
    </w:rPr>
  </w:style>
  <w:style w:type="paragraph" w:styleId="1113" w:customStyle="1">
    <w:name w:val="普通(网站)1"/>
    <w:basedOn w:val="1088"/>
    <w:uiPriority w:val="0"/>
    <w:qFormat/>
    <w:pPr>
      <w:jc w:val="left"/>
      <w:spacing w:before="100" w:beforeAutospacing="1" w:after="100" w:afterAutospacing="1"/>
      <w:widowControl/>
    </w:pPr>
    <w:rPr>
      <w:rFonts w:ascii="宋体" w:hAnsi="宋体" w:cs="宋体"/>
      <w:sz w:val="24"/>
    </w:rPr>
  </w:style>
  <w:style w:type="paragraph" w:styleId="1114" w:customStyle="1">
    <w:name w:val="段落正文"/>
    <w:basedOn w:val="1088"/>
    <w:uiPriority w:val="0"/>
    <w:qFormat/>
    <w:pPr>
      <w:ind w:firstLine="880"/>
    </w:pPr>
    <w:rPr>
      <w:szCs w:val="21"/>
    </w:rPr>
  </w:style>
  <w:style w:type="table" w:styleId="1115" w:customStyle="1">
    <w:name w:val="Table Normal"/>
    <w:uiPriority w:val="0"/>
    <w:semiHidden/>
    <w:unhideWhenUsed/>
    <w:qFormat/>
    <w:tblPr>
      <w:tblCellMar>
        <w:left w:w="0" w:type="dxa"/>
        <w:top w:w="0" w:type="dxa"/>
        <w:right w:w="0" w:type="dxa"/>
        <w:bottom w:w="0" w:type="dxa"/>
      </w:tblCellMar>
    </w:tblPr>
  </w:style>
  <w:style w:type="paragraph" w:styleId="1116" w:customStyle="1">
    <w:name w:val="Table Text"/>
    <w:basedOn w:val="1088"/>
    <w:uiPriority w:val="0"/>
    <w:semiHidden/>
    <w:qFormat/>
    <w:rPr>
      <w:rFonts w:ascii="Arial" w:hAnsi="Arial" w:eastAsia="Arial" w:cs="Arial"/>
      <w:szCs w:val="21"/>
      <w:lang w:eastAsia="en-US"/>
    </w:rPr>
  </w:style>
  <w:style w:type="paragraph" w:styleId="1117" w:customStyle="1">
    <w:name w:val="正文缩进11"/>
    <w:basedOn w:val="1088"/>
    <w:uiPriority w:val="0"/>
    <w:qFormat/>
    <w:pPr>
      <w:ind w:firstLine="420"/>
      <w:jc w:val="left"/>
      <w:widowControl/>
    </w:pPr>
    <w:rPr>
      <w:rFonts w:eastAsia="楷体_GB2312"/>
      <w:sz w:val="24"/>
      <w:szCs w:val="20"/>
    </w:rPr>
  </w:style>
  <w:style w:type="paragraph" w:styleId="1118" w:customStyle="1">
    <w:name w:val="纯文本12"/>
    <w:basedOn w:val="1088"/>
    <w:uiPriority w:val="0"/>
    <w:qFormat/>
    <w:rPr>
      <w:rFonts w:ascii="宋体" w:hAnsi="Courier New"/>
    </w:rPr>
  </w:style>
  <w:style w:type="paragraph" w:styleId="1119" w:customStyle="1">
    <w:name w:val="纯文本11"/>
    <w:basedOn w:val="1088"/>
    <w:uiPriority w:val="0"/>
    <w:qFormat/>
    <w:pPr>
      <w:jc w:val="left"/>
      <w:widowControl/>
    </w:pPr>
    <w:rPr>
      <w:rFonts w:ascii="宋体" w:hAnsi="Courier New" w:eastAsia="楷体_GB2312"/>
      <w:sz w:val="26"/>
    </w:rPr>
  </w:style>
  <w:style w:type="character" w:styleId="1120" w:customStyle="1">
    <w:name w:val="批注引用1"/>
    <w:uiPriority w:val="0"/>
    <w:semiHidden/>
    <w:qFormat/>
    <w:rPr>
      <w:rFonts w:ascii="Times New Roman" w:hAnsi="Times New Roman" w:eastAsia="宋体" w:cs="Times New Roman"/>
      <w:sz w:val="21"/>
      <w:szCs w:val="24"/>
      <w:lang w:val="en-US" w:eastAsia="zh-CN" w:bidi="ar-SA"/>
    </w:rPr>
  </w:style>
  <w:style w:type="paragraph" w:styleId="1121" w:customStyle="1">
    <w:name w:val="纯文本2"/>
    <w:basedOn w:val="1088"/>
    <w:uiPriority w:val="0"/>
    <w:qFormat/>
    <w:pPr>
      <w:jc w:val="left"/>
      <w:widowControl/>
    </w:pPr>
    <w:rPr>
      <w:rFonts w:ascii="宋体" w:hAnsi="Courier New" w:eastAsia="楷体_GB2312"/>
      <w:sz w:val="26"/>
      <w:szCs w:val="20"/>
    </w:rPr>
  </w:style>
  <w:style w:type="paragraph" w:styleId="1122" w:customStyle="1">
    <w:name w:val="纯文本1"/>
    <w:basedOn w:val="1088"/>
    <w:next w:val="1099"/>
    <w:uiPriority w:val="0"/>
    <w:qFormat/>
    <w:rPr>
      <w:rFonts w:ascii="宋体" w:hAnsi="Courier New" w:eastAsia="楷体_GB2312"/>
      <w:sz w:val="28"/>
      <w:szCs w:val="20"/>
    </w:rPr>
  </w:style>
  <w:style w:type="paragraph" w:styleId="1123" w:customStyle="1">
    <w:name w:val="正文文本1"/>
    <w:basedOn w:val="1088"/>
    <w:next w:val="1088"/>
    <w:uiPriority w:val="0"/>
    <w:qFormat/>
    <w:pPr>
      <w:spacing w:line="400" w:lineRule="exact"/>
    </w:pPr>
    <w:rPr>
      <w:rFonts w:ascii="楷体_GB2312"/>
      <w:sz w:val="28"/>
    </w:rPr>
  </w:style>
  <w:style w:type="paragraph" w:styleId="1124" w:customStyle="1">
    <w:name w:val="正文文本11"/>
    <w:basedOn w:val="1088"/>
    <w:next w:val="1088"/>
    <w:uiPriority w:val="0"/>
    <w:qFormat/>
    <w:pPr>
      <w:spacing w:after="120"/>
    </w:pPr>
  </w:style>
  <w:style w:type="paragraph" w:styleId="1125" w:customStyle="1">
    <w:name w:val="Table Paragraph"/>
    <w:basedOn w:val="1088"/>
    <w:uiPriority w:val="1"/>
    <w:qFormat/>
    <w:rPr>
      <w:rFonts w:ascii="宋体" w:hAnsi="宋体" w:cs="宋体"/>
      <w:lang w:val="zh-CN" w:bidi="zh-CN"/>
    </w:rPr>
  </w:style>
  <w:style w:type="character" w:styleId="1126" w:customStyle="1">
    <w:name w:val="NormalCharacter11"/>
    <w:uiPriority w:val="0"/>
    <w:qFormat/>
    <w:rPr>
      <w:rFonts w:ascii="Times New Roman" w:hAnsi="Times New Roman" w:eastAsia="宋体"/>
    </w:rPr>
  </w:style>
  <w:style w:type="paragraph" w:styleId="1127" w:customStyle="1">
    <w:name w:val="标题3"/>
    <w:basedOn w:val="1128"/>
    <w:uiPriority w:val="0"/>
    <w:qFormat/>
    <w:pPr>
      <w:contextualSpacing/>
      <w:jc w:val="center"/>
      <w:spacing w:before="100" w:after="100"/>
    </w:pPr>
    <w:rPr>
      <w:rFonts w:eastAsia="黑体" w:cs="宋体"/>
      <w:bCs/>
      <w:sz w:val="28"/>
    </w:rPr>
  </w:style>
  <w:style w:type="paragraph" w:styleId="1128" w:customStyle="1">
    <w:name w:val="标题 31"/>
    <w:basedOn w:val="1088"/>
    <w:next w:val="1088"/>
    <w:uiPriority w:val="0"/>
    <w:qFormat/>
    <w:pPr>
      <w:jc w:val="left"/>
      <w:keepLines/>
      <w:keepNext/>
      <w:outlineLvl w:val="2"/>
    </w:pPr>
    <w:rPr>
      <w:b/>
    </w:rPr>
  </w:style>
  <w:style w:type="paragraph" w:styleId="1129" w:customStyle="1">
    <w:name w:val="Header1"/>
    <w:basedOn w:val="1088"/>
    <w:uiPriority w:val="99"/>
    <w:qFormat/>
    <w:pPr>
      <w:jc w:val="center"/>
      <w:tabs>
        <w:tab w:val="center" w:pos="4153" w:leader="none"/>
        <w:tab w:val="right" w:pos="8306" w:leader="none"/>
      </w:tabs>
      <w:pBdr>
        <w:bottom w:val="single" w:color="000000" w:sz="6" w:space="1"/>
      </w:pBdr>
    </w:pPr>
    <w:rPr>
      <w:sz w:val="18"/>
      <w:szCs w:val="18"/>
    </w:rPr>
  </w:style>
  <w:style w:type="paragraph" w:styleId="1130" w:customStyle="1">
    <w:name w:val="Footer1"/>
    <w:basedOn w:val="1088"/>
    <w:uiPriority w:val="99"/>
    <w:qFormat/>
    <w:pPr>
      <w:jc w:val="left"/>
      <w:tabs>
        <w:tab w:val="center" w:pos="4153" w:leader="none"/>
        <w:tab w:val="right" w:pos="8306" w:leader="none"/>
      </w:tabs>
    </w:pPr>
    <w:rPr>
      <w:sz w:val="18"/>
      <w:szCs w:val="18"/>
    </w:rPr>
  </w:style>
  <w:style w:type="numbering" w:styleId="11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董鹏</cp:lastModifiedBy>
  <cp:revision>3</cp:revision>
  <dcterms:created xsi:type="dcterms:W3CDTF">2022-09-29T05:39:00Z</dcterms:created>
  <dcterms:modified xsi:type="dcterms:W3CDTF">2025-12-11T05:52:52Z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F54EA2B1B84745A48AD7A9DD01989FB6</vt:lpwstr>
  </property>
</Properties>
</file>